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spacing w:val="-2"/>
        </w:rPr>
        <w:t>LAPORAN</w:t>
      </w:r>
    </w:p>
    <w:p>
      <w:pPr>
        <w:pStyle w:val="Heading2"/>
        <w:spacing w:line="362" w:lineRule="auto" w:before="155"/>
        <w:ind w:left="1244" w:right="1671" w:firstLine="0"/>
        <w:jc w:val="center"/>
      </w:pPr>
      <w:r>
        <w:rPr/>
        <w:t>DATA</w:t>
      </w:r>
      <w:r>
        <w:rPr>
          <w:spacing w:val="-11"/>
        </w:rPr>
        <w:t> </w:t>
      </w:r>
      <w:r>
        <w:rPr/>
        <w:t>JUMLAH</w:t>
      </w:r>
      <w:r>
        <w:rPr>
          <w:spacing w:val="-2"/>
        </w:rPr>
        <w:t> </w:t>
      </w:r>
      <w:r>
        <w:rPr/>
        <w:t>PENERIMA</w:t>
      </w:r>
      <w:r>
        <w:rPr>
          <w:spacing w:val="-11"/>
        </w:rPr>
        <w:t> </w:t>
      </w:r>
      <w:r>
        <w:rPr/>
        <w:t>PBPU</w:t>
      </w:r>
      <w:r>
        <w:rPr>
          <w:spacing w:val="-3"/>
        </w:rPr>
        <w:t> </w:t>
      </w:r>
      <w:r>
        <w:rPr/>
        <w:t>PEMDA</w:t>
      </w:r>
      <w:r>
        <w:rPr>
          <w:spacing w:val="-11"/>
        </w:rPr>
        <w:t> </w:t>
      </w:r>
      <w:r>
        <w:rPr/>
        <w:t>(JKN) KABUPATEN GOWA TAHUN 2025</w:t>
      </w:r>
    </w:p>
    <w:p>
      <w:pPr>
        <w:pStyle w:val="BodyText"/>
        <w:rPr>
          <w:rFonts w:ascii="Arial"/>
          <w:b/>
          <w:sz w:val="20"/>
        </w:rPr>
      </w:pPr>
    </w:p>
    <w:p>
      <w:pPr>
        <w:pStyle w:val="BodyText"/>
        <w:spacing w:before="40"/>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895350</wp:posOffset>
                </wp:positionH>
                <wp:positionV relativeFrom="paragraph">
                  <wp:posOffset>186859</wp:posOffset>
                </wp:positionV>
                <wp:extent cx="5770880" cy="1270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770880" cy="12700"/>
                        </a:xfrm>
                        <a:custGeom>
                          <a:avLst/>
                          <a:gdLst/>
                          <a:ahLst/>
                          <a:cxnLst/>
                          <a:rect l="l" t="t" r="r" b="b"/>
                          <a:pathLst>
                            <a:path w="5770880" h="12700">
                              <a:moveTo>
                                <a:pt x="5770626" y="0"/>
                              </a:moveTo>
                              <a:lnTo>
                                <a:pt x="0" y="0"/>
                              </a:lnTo>
                              <a:lnTo>
                                <a:pt x="0" y="12700"/>
                              </a:lnTo>
                              <a:lnTo>
                                <a:pt x="5770626" y="12700"/>
                              </a:lnTo>
                              <a:lnTo>
                                <a:pt x="5770626" y="0"/>
                              </a:lnTo>
                              <a:close/>
                            </a:path>
                          </a:pathLst>
                        </a:custGeom>
                        <a:solidFill>
                          <a:srgbClr val="C89A2D"/>
                        </a:solidFill>
                      </wps:spPr>
                      <wps:bodyPr wrap="square" lIns="0" tIns="0" rIns="0" bIns="0" rtlCol="0">
                        <a:prstTxWarp prst="textNoShape">
                          <a:avLst/>
                        </a:prstTxWarp>
                        <a:noAutofit/>
                      </wps:bodyPr>
                    </wps:wsp>
                  </a:graphicData>
                </a:graphic>
              </wp:anchor>
            </w:drawing>
          </mc:Choice>
          <mc:Fallback>
            <w:pict>
              <v:rect style="position:absolute;margin-left:70.5pt;margin-top:14.71336pt;width:454.38pt;height:1pt;mso-position-horizontal-relative:page;mso-position-vertical-relative:paragraph;z-index:-15728640;mso-wrap-distance-left:0;mso-wrap-distance-right:0" id="docshape3" filled="true" fillcolor="#c89a2d" stroked="false">
                <v:fill type="solid"/>
                <w10:wrap type="topAndBottom"/>
              </v:rect>
            </w:pict>
          </mc:Fallback>
        </mc:AlternateContent>
      </w:r>
    </w:p>
    <w:p>
      <w:pPr>
        <w:pStyle w:val="BodyText"/>
        <w:spacing w:before="18"/>
        <w:rPr>
          <w:rFonts w:ascii="Arial"/>
          <w:b/>
        </w:rPr>
      </w:pPr>
    </w:p>
    <w:p>
      <w:pPr>
        <w:pStyle w:val="Heading2"/>
        <w:numPr>
          <w:ilvl w:val="0"/>
          <w:numId w:val="1"/>
        </w:numPr>
        <w:tabs>
          <w:tab w:pos="363" w:val="left" w:leader="none"/>
        </w:tabs>
        <w:spacing w:line="240" w:lineRule="auto" w:before="1" w:after="0"/>
        <w:ind w:left="363" w:right="0" w:hanging="198"/>
        <w:jc w:val="left"/>
      </w:pPr>
      <w:r>
        <w:rPr>
          <w:spacing w:val="-2"/>
        </w:rPr>
        <w:t>Pendahuluan</w:t>
      </w:r>
    </w:p>
    <w:p>
      <w:pPr>
        <w:pStyle w:val="BodyText"/>
        <w:spacing w:line="280" w:lineRule="auto" w:before="193"/>
        <w:ind w:left="165" w:right="590"/>
        <w:jc w:val="both"/>
      </w:pPr>
      <w:r>
        <w:rPr/>
        <w:t>Program Pekerja Bukan Penerima Upah (PBPU) yang dibiayai oleh Pemerintah Daerah</w:t>
      </w:r>
      <w:r>
        <w:rPr>
          <w:spacing w:val="-4"/>
        </w:rPr>
        <w:t> </w:t>
      </w:r>
      <w:r>
        <w:rPr/>
        <w:t>(Pemda)</w:t>
      </w:r>
      <w:r>
        <w:rPr>
          <w:spacing w:val="-4"/>
        </w:rPr>
        <w:t> </w:t>
      </w:r>
      <w:r>
        <w:rPr/>
        <w:t>merupakan</w:t>
      </w:r>
      <w:r>
        <w:rPr>
          <w:spacing w:val="-4"/>
        </w:rPr>
        <w:t> </w:t>
      </w:r>
      <w:r>
        <w:rPr/>
        <w:t>salah</w:t>
      </w:r>
      <w:r>
        <w:rPr>
          <w:spacing w:val="-3"/>
        </w:rPr>
        <w:t> </w:t>
      </w:r>
      <w:r>
        <w:rPr/>
        <w:t>satu</w:t>
      </w:r>
      <w:r>
        <w:rPr>
          <w:spacing w:val="-4"/>
        </w:rPr>
        <w:t> </w:t>
      </w:r>
      <w:r>
        <w:rPr/>
        <w:t>skema</w:t>
      </w:r>
      <w:r>
        <w:rPr>
          <w:spacing w:val="-3"/>
        </w:rPr>
        <w:t> </w:t>
      </w:r>
      <w:r>
        <w:rPr/>
        <w:t>kepesertaan</w:t>
      </w:r>
      <w:r>
        <w:rPr>
          <w:spacing w:val="-3"/>
        </w:rPr>
        <w:t> </w:t>
      </w:r>
      <w:r>
        <w:rPr/>
        <w:t>dalam</w:t>
      </w:r>
      <w:r>
        <w:rPr>
          <w:spacing w:val="-4"/>
        </w:rPr>
        <w:t> </w:t>
      </w:r>
      <w:r>
        <w:rPr/>
        <w:t>Program</w:t>
      </w:r>
      <w:r>
        <w:rPr>
          <w:spacing w:val="-6"/>
        </w:rPr>
        <w:t> </w:t>
      </w:r>
      <w:r>
        <w:rPr/>
        <w:t>Jaminan Kesehatan Nasional (JKN) yang diselenggarakan oleh BPJS Kesehatan. Skema ini ditujukan untuk memberikan perlindungan jaminan kesehatan kepada masyarakat yang tidak memiliki hubungan kerja formal, dengan iuran kepesertaan yang dibiayai melalui anggaran daerah.</w:t>
      </w:r>
    </w:p>
    <w:p>
      <w:pPr>
        <w:pStyle w:val="BodyText"/>
        <w:spacing w:line="280" w:lineRule="auto" w:before="198"/>
        <w:ind w:left="165" w:right="590"/>
        <w:jc w:val="both"/>
      </w:pPr>
      <w:r>
        <w:rPr/>
        <w:t>Laporan ini disusun untuk memaparkan perkembangan jumlah peserta penerima PBPU Pemda di Kabupaten Gowa selama periode Januari hingga Desember 2025, berdasarkan data resmi yang bersumber dari BPJS Kesehatan Kabupaten Gowa.</w:t>
      </w:r>
    </w:p>
    <w:p>
      <w:pPr>
        <w:pStyle w:val="BodyText"/>
        <w:spacing w:before="25"/>
      </w:pPr>
    </w:p>
    <w:p>
      <w:pPr>
        <w:pStyle w:val="Heading2"/>
        <w:numPr>
          <w:ilvl w:val="0"/>
          <w:numId w:val="1"/>
        </w:numPr>
        <w:tabs>
          <w:tab w:pos="427" w:val="left" w:leader="none"/>
        </w:tabs>
        <w:spacing w:line="240" w:lineRule="auto" w:before="0" w:after="0"/>
        <w:ind w:left="427" w:right="0" w:hanging="262"/>
        <w:jc w:val="left"/>
      </w:pPr>
      <w:r>
        <w:rPr/>
        <w:t>Dasar </w:t>
      </w:r>
      <w:r>
        <w:rPr>
          <w:spacing w:val="-4"/>
        </w:rPr>
        <w:t>Data</w:t>
      </w:r>
    </w:p>
    <w:p>
      <w:pPr>
        <w:pStyle w:val="ListParagraph"/>
        <w:numPr>
          <w:ilvl w:val="1"/>
          <w:numId w:val="1"/>
        </w:numPr>
        <w:tabs>
          <w:tab w:pos="885" w:val="left" w:leader="none"/>
        </w:tabs>
        <w:spacing w:line="240" w:lineRule="auto" w:before="194" w:after="0"/>
        <w:ind w:left="885" w:right="0" w:hanging="360"/>
        <w:jc w:val="left"/>
        <w:rPr>
          <w:sz w:val="24"/>
        </w:rPr>
      </w:pPr>
      <w:r>
        <w:rPr>
          <w:sz w:val="24"/>
        </w:rPr>
        <w:t>Sumber</w:t>
      </w:r>
      <w:r>
        <w:rPr>
          <w:spacing w:val="-2"/>
          <w:sz w:val="24"/>
        </w:rPr>
        <w:t> </w:t>
      </w:r>
      <w:r>
        <w:rPr>
          <w:sz w:val="24"/>
        </w:rPr>
        <w:t>Data:</w:t>
      </w:r>
      <w:r>
        <w:rPr>
          <w:spacing w:val="-2"/>
          <w:sz w:val="24"/>
        </w:rPr>
        <w:t> </w:t>
      </w:r>
      <w:r>
        <w:rPr>
          <w:sz w:val="24"/>
        </w:rPr>
        <w:t>BPJS</w:t>
      </w:r>
      <w:r>
        <w:rPr>
          <w:spacing w:val="-2"/>
          <w:sz w:val="24"/>
        </w:rPr>
        <w:t> </w:t>
      </w:r>
      <w:r>
        <w:rPr>
          <w:sz w:val="24"/>
        </w:rPr>
        <w:t>Kesehatan</w:t>
      </w:r>
      <w:r>
        <w:rPr>
          <w:spacing w:val="-2"/>
          <w:sz w:val="24"/>
        </w:rPr>
        <w:t> </w:t>
      </w:r>
      <w:r>
        <w:rPr>
          <w:sz w:val="24"/>
        </w:rPr>
        <w:t>Kabupaten</w:t>
      </w:r>
      <w:r>
        <w:rPr>
          <w:spacing w:val="-1"/>
          <w:sz w:val="24"/>
        </w:rPr>
        <w:t> </w:t>
      </w:r>
      <w:r>
        <w:rPr>
          <w:sz w:val="24"/>
        </w:rPr>
        <w:t>Gowa</w:t>
      </w:r>
      <w:r>
        <w:rPr>
          <w:spacing w:val="-1"/>
          <w:sz w:val="24"/>
        </w:rPr>
        <w:t> </w:t>
      </w:r>
      <w:r>
        <w:rPr>
          <w:sz w:val="24"/>
        </w:rPr>
        <w:t>Tahun</w:t>
      </w:r>
      <w:r>
        <w:rPr>
          <w:spacing w:val="-2"/>
          <w:sz w:val="24"/>
        </w:rPr>
        <w:t> </w:t>
      </w:r>
      <w:r>
        <w:rPr>
          <w:spacing w:val="-4"/>
          <w:sz w:val="24"/>
        </w:rPr>
        <w:t>2025</w:t>
      </w:r>
    </w:p>
    <w:p>
      <w:pPr>
        <w:pStyle w:val="ListParagraph"/>
        <w:numPr>
          <w:ilvl w:val="1"/>
          <w:numId w:val="1"/>
        </w:numPr>
        <w:tabs>
          <w:tab w:pos="885" w:val="left" w:leader="none"/>
        </w:tabs>
        <w:spacing w:line="240" w:lineRule="auto" w:before="146" w:after="0"/>
        <w:ind w:left="885" w:right="0" w:hanging="360"/>
        <w:jc w:val="left"/>
        <w:rPr>
          <w:sz w:val="24"/>
        </w:rPr>
      </w:pPr>
      <w:r>
        <w:rPr>
          <w:sz w:val="24"/>
        </w:rPr>
        <w:t>Periode</w:t>
      </w:r>
      <w:r>
        <w:rPr>
          <w:spacing w:val="7"/>
          <w:sz w:val="24"/>
        </w:rPr>
        <w:t> </w:t>
      </w:r>
      <w:r>
        <w:rPr>
          <w:sz w:val="24"/>
        </w:rPr>
        <w:t>Data:</w:t>
      </w:r>
      <w:r>
        <w:rPr>
          <w:spacing w:val="7"/>
          <w:sz w:val="24"/>
        </w:rPr>
        <w:t> </w:t>
      </w:r>
      <w:r>
        <w:rPr>
          <w:sz w:val="24"/>
        </w:rPr>
        <w:t>Januari</w:t>
      </w:r>
      <w:r>
        <w:rPr>
          <w:spacing w:val="8"/>
          <w:sz w:val="24"/>
        </w:rPr>
        <w:t> </w:t>
      </w:r>
      <w:r>
        <w:rPr>
          <w:sz w:val="24"/>
        </w:rPr>
        <w:t>2025</w:t>
      </w:r>
      <w:r>
        <w:rPr>
          <w:spacing w:val="9"/>
          <w:sz w:val="24"/>
        </w:rPr>
        <w:t> </w:t>
      </w:r>
      <w:r>
        <w:rPr>
          <w:sz w:val="24"/>
        </w:rPr>
        <w:t>–</w:t>
      </w:r>
      <w:r>
        <w:rPr>
          <w:spacing w:val="7"/>
          <w:sz w:val="24"/>
        </w:rPr>
        <w:t> </w:t>
      </w:r>
      <w:r>
        <w:rPr>
          <w:sz w:val="24"/>
        </w:rPr>
        <w:t>Desember</w:t>
      </w:r>
      <w:r>
        <w:rPr>
          <w:spacing w:val="7"/>
          <w:sz w:val="24"/>
        </w:rPr>
        <w:t> </w:t>
      </w:r>
      <w:r>
        <w:rPr>
          <w:spacing w:val="-4"/>
          <w:sz w:val="24"/>
        </w:rPr>
        <w:t>2025</w:t>
      </w:r>
    </w:p>
    <w:p>
      <w:pPr>
        <w:pStyle w:val="ListParagraph"/>
        <w:numPr>
          <w:ilvl w:val="1"/>
          <w:numId w:val="1"/>
        </w:numPr>
        <w:tabs>
          <w:tab w:pos="885" w:val="left" w:leader="none"/>
        </w:tabs>
        <w:spacing w:line="240" w:lineRule="auto" w:before="147" w:after="0"/>
        <w:ind w:left="885" w:right="0" w:hanging="360"/>
        <w:jc w:val="left"/>
        <w:rPr>
          <w:sz w:val="24"/>
        </w:rPr>
      </w:pPr>
      <w:r>
        <w:rPr>
          <w:sz w:val="24"/>
        </w:rPr>
        <w:t>Objek</w:t>
      </w:r>
      <w:r>
        <w:rPr>
          <w:spacing w:val="-3"/>
          <w:sz w:val="24"/>
        </w:rPr>
        <w:t> </w:t>
      </w:r>
      <w:r>
        <w:rPr>
          <w:sz w:val="24"/>
        </w:rPr>
        <w:t>Data:</w:t>
      </w:r>
      <w:r>
        <w:rPr>
          <w:spacing w:val="-2"/>
          <w:sz w:val="24"/>
        </w:rPr>
        <w:t> </w:t>
      </w:r>
      <w:r>
        <w:rPr>
          <w:sz w:val="24"/>
        </w:rPr>
        <w:t>Jumlah</w:t>
      </w:r>
      <w:r>
        <w:rPr>
          <w:spacing w:val="-3"/>
          <w:sz w:val="24"/>
        </w:rPr>
        <w:t> </w:t>
      </w:r>
      <w:r>
        <w:rPr>
          <w:sz w:val="24"/>
        </w:rPr>
        <w:t>Peserta</w:t>
      </w:r>
      <w:r>
        <w:rPr>
          <w:spacing w:val="-2"/>
          <w:sz w:val="24"/>
        </w:rPr>
        <w:t> </w:t>
      </w:r>
      <w:r>
        <w:rPr>
          <w:sz w:val="24"/>
        </w:rPr>
        <w:t>Penerima</w:t>
      </w:r>
      <w:r>
        <w:rPr>
          <w:spacing w:val="-3"/>
          <w:sz w:val="24"/>
        </w:rPr>
        <w:t> </w:t>
      </w:r>
      <w:r>
        <w:rPr>
          <w:sz w:val="24"/>
        </w:rPr>
        <w:t>PBPU</w:t>
      </w:r>
      <w:r>
        <w:rPr>
          <w:spacing w:val="-2"/>
          <w:sz w:val="24"/>
        </w:rPr>
        <w:t> </w:t>
      </w:r>
      <w:r>
        <w:rPr>
          <w:sz w:val="24"/>
        </w:rPr>
        <w:t>Pemda</w:t>
      </w:r>
      <w:r>
        <w:rPr>
          <w:spacing w:val="-3"/>
          <w:sz w:val="24"/>
        </w:rPr>
        <w:t> </w:t>
      </w:r>
      <w:r>
        <w:rPr>
          <w:sz w:val="24"/>
        </w:rPr>
        <w:t>(Program</w:t>
      </w:r>
      <w:r>
        <w:rPr>
          <w:spacing w:val="-2"/>
          <w:sz w:val="24"/>
        </w:rPr>
        <w:t> </w:t>
      </w:r>
      <w:r>
        <w:rPr>
          <w:spacing w:val="-4"/>
          <w:sz w:val="24"/>
        </w:rPr>
        <w:t>JKN)</w:t>
      </w:r>
    </w:p>
    <w:p>
      <w:pPr>
        <w:pStyle w:val="BodyText"/>
        <w:spacing w:before="68"/>
      </w:pPr>
    </w:p>
    <w:p>
      <w:pPr>
        <w:pStyle w:val="Heading2"/>
        <w:numPr>
          <w:ilvl w:val="0"/>
          <w:numId w:val="1"/>
        </w:numPr>
        <w:tabs>
          <w:tab w:pos="496" w:val="left" w:leader="none"/>
        </w:tabs>
        <w:spacing w:line="240" w:lineRule="auto" w:before="1" w:after="0"/>
        <w:ind w:left="496" w:right="0" w:hanging="331"/>
        <w:jc w:val="left"/>
      </w:pPr>
      <w:r>
        <w:rPr/>
        <w:t>Grafik</w:t>
      </w:r>
      <w:r>
        <w:rPr>
          <w:spacing w:val="-2"/>
        </w:rPr>
        <w:t> </w:t>
      </w:r>
      <w:r>
        <w:rPr/>
        <w:t>Perkembangan</w:t>
      </w:r>
      <w:r>
        <w:rPr>
          <w:spacing w:val="-2"/>
        </w:rPr>
        <w:t> </w:t>
      </w:r>
      <w:r>
        <w:rPr>
          <w:spacing w:val="-4"/>
        </w:rPr>
        <w:t>Data</w:t>
      </w:r>
    </w:p>
    <w:p>
      <w:pPr>
        <w:pStyle w:val="BodyText"/>
        <w:spacing w:line="280" w:lineRule="auto" w:before="196"/>
        <w:ind w:left="165" w:right="593"/>
        <w:jc w:val="both"/>
      </w:pPr>
      <w:r>
        <w:rPr/>
        <w:t>Berikut disajikan grafik batang yang menggambarkan perkembangan jumlah penerima PBPU Pemda dari bulan ke bulan sepanjang tahun 2025.</w:t>
      </w:r>
    </w:p>
    <w:p>
      <w:pPr>
        <w:pStyle w:val="BodyText"/>
        <w:spacing w:before="1"/>
        <w:rPr>
          <w:sz w:val="10"/>
        </w:rPr>
      </w:pPr>
      <w:r>
        <w:rPr>
          <w:sz w:val="10"/>
        </w:rPr>
        <w:drawing>
          <wp:anchor distT="0" distB="0" distL="0" distR="0" allowOverlap="1" layoutInCell="1" locked="0" behindDoc="1" simplePos="0" relativeHeight="487588352">
            <wp:simplePos x="0" y="0"/>
            <wp:positionH relativeFrom="page">
              <wp:posOffset>1417319</wp:posOffset>
            </wp:positionH>
            <wp:positionV relativeFrom="paragraph">
              <wp:posOffset>87932</wp:posOffset>
            </wp:positionV>
            <wp:extent cx="4815342" cy="2459736"/>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4815342" cy="2459736"/>
                    </a:xfrm>
                    <a:prstGeom prst="rect">
                      <a:avLst/>
                    </a:prstGeom>
                  </pic:spPr>
                </pic:pic>
              </a:graphicData>
            </a:graphic>
          </wp:anchor>
        </w:drawing>
      </w:r>
    </w:p>
    <w:p>
      <w:pPr>
        <w:spacing w:before="107"/>
        <w:ind w:left="1250" w:right="1671" w:firstLine="0"/>
        <w:jc w:val="center"/>
        <w:rPr>
          <w:rFonts w:ascii="Arial"/>
          <w:i/>
          <w:sz w:val="24"/>
        </w:rPr>
      </w:pPr>
      <w:r>
        <w:rPr>
          <w:rFonts w:ascii="Arial"/>
          <w:i/>
          <w:color w:val="585858"/>
          <w:sz w:val="24"/>
        </w:rPr>
        <w:t>Gambar</w:t>
      </w:r>
      <w:r>
        <w:rPr>
          <w:rFonts w:ascii="Arial"/>
          <w:i/>
          <w:color w:val="585858"/>
          <w:spacing w:val="-2"/>
          <w:sz w:val="24"/>
        </w:rPr>
        <w:t> </w:t>
      </w:r>
      <w:r>
        <w:rPr>
          <w:rFonts w:ascii="Arial"/>
          <w:i/>
          <w:color w:val="585858"/>
          <w:sz w:val="24"/>
        </w:rPr>
        <w:t>1.</w:t>
      </w:r>
      <w:r>
        <w:rPr>
          <w:rFonts w:ascii="Arial"/>
          <w:i/>
          <w:color w:val="585858"/>
          <w:spacing w:val="-1"/>
          <w:sz w:val="24"/>
        </w:rPr>
        <w:t> </w:t>
      </w:r>
      <w:r>
        <w:rPr>
          <w:rFonts w:ascii="Arial"/>
          <w:i/>
          <w:color w:val="585858"/>
          <w:sz w:val="24"/>
        </w:rPr>
        <w:t>Grafik</w:t>
      </w:r>
      <w:r>
        <w:rPr>
          <w:rFonts w:ascii="Arial"/>
          <w:i/>
          <w:color w:val="585858"/>
          <w:spacing w:val="-2"/>
          <w:sz w:val="24"/>
        </w:rPr>
        <w:t> </w:t>
      </w:r>
      <w:r>
        <w:rPr>
          <w:rFonts w:ascii="Arial"/>
          <w:i/>
          <w:color w:val="585858"/>
          <w:sz w:val="24"/>
        </w:rPr>
        <w:t>Jumlah Penerima</w:t>
      </w:r>
      <w:r>
        <w:rPr>
          <w:rFonts w:ascii="Arial"/>
          <w:i/>
          <w:color w:val="585858"/>
          <w:spacing w:val="-1"/>
          <w:sz w:val="24"/>
        </w:rPr>
        <w:t> </w:t>
      </w:r>
      <w:r>
        <w:rPr>
          <w:rFonts w:ascii="Arial"/>
          <w:i/>
          <w:color w:val="585858"/>
          <w:sz w:val="24"/>
        </w:rPr>
        <w:t>PBPU</w:t>
      </w:r>
      <w:r>
        <w:rPr>
          <w:rFonts w:ascii="Arial"/>
          <w:i/>
          <w:color w:val="585858"/>
          <w:spacing w:val="-2"/>
          <w:sz w:val="24"/>
        </w:rPr>
        <w:t> </w:t>
      </w:r>
      <w:r>
        <w:rPr>
          <w:rFonts w:ascii="Arial"/>
          <w:i/>
          <w:color w:val="585858"/>
          <w:sz w:val="24"/>
        </w:rPr>
        <w:t>Pemda Tahun </w:t>
      </w:r>
      <w:r>
        <w:rPr>
          <w:rFonts w:ascii="Arial"/>
          <w:i/>
          <w:color w:val="585858"/>
          <w:spacing w:val="-4"/>
          <w:sz w:val="24"/>
        </w:rPr>
        <w:t>2025</w:t>
      </w:r>
    </w:p>
    <w:p>
      <w:pPr>
        <w:spacing w:after="0"/>
        <w:jc w:val="center"/>
        <w:rPr>
          <w:rFonts w:ascii="Arial"/>
          <w:i/>
          <w:sz w:val="24"/>
        </w:rPr>
        <w:sectPr>
          <w:headerReference w:type="default" r:id="rId5"/>
          <w:type w:val="continuous"/>
          <w:pgSz w:w="11910" w:h="16840"/>
          <w:pgMar w:header="718" w:footer="0" w:top="1340" w:bottom="280" w:left="1275" w:right="850"/>
          <w:pgNumType w:start="1"/>
        </w:sectPr>
      </w:pPr>
    </w:p>
    <w:p>
      <w:pPr>
        <w:pStyle w:val="Heading2"/>
        <w:numPr>
          <w:ilvl w:val="0"/>
          <w:numId w:val="1"/>
        </w:numPr>
        <w:tabs>
          <w:tab w:pos="524" w:val="left" w:leader="none"/>
        </w:tabs>
        <w:spacing w:line="240" w:lineRule="auto" w:before="82" w:after="0"/>
        <w:ind w:left="524" w:right="0" w:hanging="359"/>
        <w:jc w:val="left"/>
      </w:pPr>
      <w:r>
        <w:rPr/>
        <w:t>Tabel</w:t>
      </w:r>
      <w:r>
        <w:rPr>
          <w:spacing w:val="-1"/>
        </w:rPr>
        <w:t> </w:t>
      </w:r>
      <w:r>
        <w:rPr/>
        <w:t>Data </w:t>
      </w:r>
      <w:r>
        <w:rPr>
          <w:spacing w:val="-2"/>
        </w:rPr>
        <w:t>Bulanan</w:t>
      </w:r>
    </w:p>
    <w:p>
      <w:pPr>
        <w:pStyle w:val="BodyText"/>
        <w:spacing w:line="278" w:lineRule="auto" w:before="196"/>
        <w:ind w:left="165" w:right="593"/>
        <w:jc w:val="both"/>
      </w:pPr>
      <w:r>
        <w:rPr/>
        <w:t>Tabel berikut menyajikan rincian jumlah peserta beserta perubahan (selisih) dibandingkan bulan sebelumnya.</w:t>
      </w:r>
    </w:p>
    <w:p>
      <w:pPr>
        <w:pStyle w:val="BodyText"/>
        <w:spacing w:before="1"/>
        <w:rPr>
          <w:sz w:val="18"/>
        </w:r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0"/>
        <w:gridCol w:w="3000"/>
        <w:gridCol w:w="2999"/>
        <w:gridCol w:w="2500"/>
      </w:tblGrid>
      <w:tr>
        <w:trPr>
          <w:trHeight w:val="317" w:hRule="atLeast"/>
        </w:trPr>
        <w:tc>
          <w:tcPr>
            <w:tcW w:w="1000" w:type="dxa"/>
            <w:shd w:val="clear" w:color="auto" w:fill="1F3863"/>
          </w:tcPr>
          <w:p>
            <w:pPr>
              <w:pStyle w:val="TableParagraph"/>
              <w:spacing w:line="271" w:lineRule="exact"/>
              <w:ind w:left="14"/>
              <w:jc w:val="center"/>
              <w:rPr>
                <w:rFonts w:ascii="Arial"/>
                <w:b/>
                <w:sz w:val="24"/>
              </w:rPr>
            </w:pPr>
            <w:r>
              <w:rPr>
                <w:rFonts w:ascii="Arial"/>
                <w:b/>
                <w:color w:val="FFFFFF"/>
                <w:spacing w:val="-5"/>
                <w:sz w:val="24"/>
              </w:rPr>
              <w:t>No</w:t>
            </w:r>
          </w:p>
        </w:tc>
        <w:tc>
          <w:tcPr>
            <w:tcW w:w="3000" w:type="dxa"/>
            <w:shd w:val="clear" w:color="auto" w:fill="1F3863"/>
          </w:tcPr>
          <w:p>
            <w:pPr>
              <w:pStyle w:val="TableParagraph"/>
              <w:spacing w:line="271" w:lineRule="exact"/>
              <w:jc w:val="center"/>
              <w:rPr>
                <w:rFonts w:ascii="Arial"/>
                <w:b/>
                <w:sz w:val="24"/>
              </w:rPr>
            </w:pPr>
            <w:r>
              <w:rPr>
                <w:rFonts w:ascii="Arial"/>
                <w:b/>
                <w:color w:val="FFFFFF"/>
                <w:spacing w:val="-2"/>
                <w:sz w:val="24"/>
              </w:rPr>
              <w:t>Bulan</w:t>
            </w:r>
          </w:p>
        </w:tc>
        <w:tc>
          <w:tcPr>
            <w:tcW w:w="2999" w:type="dxa"/>
            <w:shd w:val="clear" w:color="auto" w:fill="1F3863"/>
          </w:tcPr>
          <w:p>
            <w:pPr>
              <w:pStyle w:val="TableParagraph"/>
              <w:spacing w:line="271" w:lineRule="exact"/>
              <w:ind w:left="242"/>
              <w:rPr>
                <w:rFonts w:ascii="Arial"/>
                <w:b/>
                <w:sz w:val="24"/>
              </w:rPr>
            </w:pPr>
            <w:r>
              <w:rPr>
                <w:rFonts w:ascii="Arial"/>
                <w:b/>
                <w:color w:val="FFFFFF"/>
                <w:sz w:val="24"/>
              </w:rPr>
              <w:t>Jumlah</w:t>
            </w:r>
            <w:r>
              <w:rPr>
                <w:rFonts w:ascii="Arial"/>
                <w:b/>
                <w:color w:val="FFFFFF"/>
                <w:spacing w:val="-1"/>
                <w:sz w:val="24"/>
              </w:rPr>
              <w:t> </w:t>
            </w:r>
            <w:r>
              <w:rPr>
                <w:rFonts w:ascii="Arial"/>
                <w:b/>
                <w:color w:val="FFFFFF"/>
                <w:sz w:val="24"/>
              </w:rPr>
              <w:t>Peserta </w:t>
            </w:r>
            <w:r>
              <w:rPr>
                <w:rFonts w:ascii="Arial"/>
                <w:b/>
                <w:color w:val="FFFFFF"/>
                <w:spacing w:val="-2"/>
                <w:sz w:val="24"/>
              </w:rPr>
              <w:t>(Jiwa)</w:t>
            </w:r>
          </w:p>
        </w:tc>
        <w:tc>
          <w:tcPr>
            <w:tcW w:w="2500" w:type="dxa"/>
            <w:shd w:val="clear" w:color="auto" w:fill="1F3863"/>
          </w:tcPr>
          <w:p>
            <w:pPr>
              <w:pStyle w:val="TableParagraph"/>
              <w:spacing w:line="271" w:lineRule="exact"/>
              <w:ind w:left="245"/>
              <w:rPr>
                <w:rFonts w:ascii="Arial"/>
                <w:b/>
                <w:sz w:val="24"/>
              </w:rPr>
            </w:pPr>
            <w:r>
              <w:rPr>
                <w:rFonts w:ascii="Arial"/>
                <w:b/>
                <w:color w:val="FFFFFF"/>
                <w:sz w:val="24"/>
              </w:rPr>
              <w:t>Perubahan</w:t>
            </w:r>
            <w:r>
              <w:rPr>
                <w:rFonts w:ascii="Arial"/>
                <w:b/>
                <w:color w:val="FFFFFF"/>
                <w:spacing w:val="-3"/>
                <w:sz w:val="24"/>
              </w:rPr>
              <w:t> </w:t>
            </w:r>
            <w:r>
              <w:rPr>
                <w:rFonts w:ascii="Arial"/>
                <w:b/>
                <w:color w:val="FFFFFF"/>
                <w:spacing w:val="-2"/>
                <w:sz w:val="24"/>
              </w:rPr>
              <w:t>(MoM)</w:t>
            </w:r>
          </w:p>
        </w:tc>
      </w:tr>
      <w:tr>
        <w:trPr>
          <w:trHeight w:val="315" w:hRule="atLeast"/>
        </w:trPr>
        <w:tc>
          <w:tcPr>
            <w:tcW w:w="1000" w:type="dxa"/>
          </w:tcPr>
          <w:p>
            <w:pPr>
              <w:pStyle w:val="TableParagraph"/>
              <w:ind w:left="14" w:right="4"/>
              <w:jc w:val="center"/>
              <w:rPr>
                <w:sz w:val="24"/>
              </w:rPr>
            </w:pPr>
            <w:r>
              <w:rPr>
                <w:spacing w:val="-10"/>
                <w:sz w:val="24"/>
              </w:rPr>
              <w:t>1</w:t>
            </w:r>
          </w:p>
        </w:tc>
        <w:tc>
          <w:tcPr>
            <w:tcW w:w="3000" w:type="dxa"/>
          </w:tcPr>
          <w:p>
            <w:pPr>
              <w:pStyle w:val="TableParagraph"/>
              <w:rPr>
                <w:sz w:val="24"/>
              </w:rPr>
            </w:pPr>
            <w:r>
              <w:rPr>
                <w:spacing w:val="-2"/>
                <w:sz w:val="24"/>
              </w:rPr>
              <w:t>Januari</w:t>
            </w:r>
          </w:p>
        </w:tc>
        <w:tc>
          <w:tcPr>
            <w:tcW w:w="2999" w:type="dxa"/>
          </w:tcPr>
          <w:p>
            <w:pPr>
              <w:pStyle w:val="TableParagraph"/>
              <w:ind w:left="12"/>
              <w:rPr>
                <w:sz w:val="24"/>
              </w:rPr>
            </w:pPr>
            <w:r>
              <w:rPr>
                <w:spacing w:val="-2"/>
                <w:sz w:val="24"/>
              </w:rPr>
              <w:t>106.565</w:t>
            </w:r>
          </w:p>
        </w:tc>
        <w:tc>
          <w:tcPr>
            <w:tcW w:w="2500" w:type="dxa"/>
          </w:tcPr>
          <w:p>
            <w:pPr>
              <w:pStyle w:val="TableParagraph"/>
              <w:ind w:left="13"/>
              <w:rPr>
                <w:sz w:val="24"/>
              </w:rPr>
            </w:pPr>
            <w:r>
              <w:rPr>
                <w:sz w:val="24"/>
              </w:rPr>
              <w:t>-</w:t>
            </w:r>
          </w:p>
        </w:tc>
      </w:tr>
      <w:tr>
        <w:trPr>
          <w:trHeight w:val="318" w:hRule="atLeast"/>
        </w:trPr>
        <w:tc>
          <w:tcPr>
            <w:tcW w:w="1000" w:type="dxa"/>
            <w:shd w:val="clear" w:color="auto" w:fill="F1F1F1"/>
          </w:tcPr>
          <w:p>
            <w:pPr>
              <w:pStyle w:val="TableParagraph"/>
              <w:ind w:left="14" w:right="4"/>
              <w:jc w:val="center"/>
              <w:rPr>
                <w:sz w:val="24"/>
              </w:rPr>
            </w:pPr>
            <w:r>
              <w:rPr>
                <w:spacing w:val="-10"/>
                <w:sz w:val="24"/>
              </w:rPr>
              <w:t>2</w:t>
            </w:r>
          </w:p>
        </w:tc>
        <w:tc>
          <w:tcPr>
            <w:tcW w:w="3000" w:type="dxa"/>
            <w:shd w:val="clear" w:color="auto" w:fill="F1F1F1"/>
          </w:tcPr>
          <w:p>
            <w:pPr>
              <w:pStyle w:val="TableParagraph"/>
              <w:rPr>
                <w:sz w:val="24"/>
              </w:rPr>
            </w:pPr>
            <w:r>
              <w:rPr>
                <w:spacing w:val="-2"/>
                <w:sz w:val="24"/>
              </w:rPr>
              <w:t>Februari</w:t>
            </w:r>
          </w:p>
        </w:tc>
        <w:tc>
          <w:tcPr>
            <w:tcW w:w="2999" w:type="dxa"/>
            <w:shd w:val="clear" w:color="auto" w:fill="F1F1F1"/>
          </w:tcPr>
          <w:p>
            <w:pPr>
              <w:pStyle w:val="TableParagraph"/>
              <w:ind w:left="12"/>
              <w:rPr>
                <w:sz w:val="24"/>
              </w:rPr>
            </w:pPr>
            <w:r>
              <w:rPr>
                <w:spacing w:val="-2"/>
                <w:sz w:val="24"/>
              </w:rPr>
              <w:t>106.987</w:t>
            </w:r>
          </w:p>
        </w:tc>
        <w:tc>
          <w:tcPr>
            <w:tcW w:w="2500" w:type="dxa"/>
            <w:shd w:val="clear" w:color="auto" w:fill="F1F1F1"/>
          </w:tcPr>
          <w:p>
            <w:pPr>
              <w:pStyle w:val="TableParagraph"/>
              <w:ind w:left="13"/>
              <w:rPr>
                <w:sz w:val="24"/>
              </w:rPr>
            </w:pPr>
            <w:r>
              <w:rPr>
                <w:spacing w:val="-4"/>
                <w:sz w:val="24"/>
              </w:rPr>
              <w:t>+422</w:t>
            </w:r>
          </w:p>
        </w:tc>
      </w:tr>
      <w:tr>
        <w:trPr>
          <w:trHeight w:val="317" w:hRule="atLeast"/>
        </w:trPr>
        <w:tc>
          <w:tcPr>
            <w:tcW w:w="1000" w:type="dxa"/>
          </w:tcPr>
          <w:p>
            <w:pPr>
              <w:pStyle w:val="TableParagraph"/>
              <w:ind w:left="14" w:right="4"/>
              <w:jc w:val="center"/>
              <w:rPr>
                <w:sz w:val="24"/>
              </w:rPr>
            </w:pPr>
            <w:r>
              <w:rPr>
                <w:spacing w:val="-10"/>
                <w:sz w:val="24"/>
              </w:rPr>
              <w:t>3</w:t>
            </w:r>
          </w:p>
        </w:tc>
        <w:tc>
          <w:tcPr>
            <w:tcW w:w="3000" w:type="dxa"/>
          </w:tcPr>
          <w:p>
            <w:pPr>
              <w:pStyle w:val="TableParagraph"/>
              <w:rPr>
                <w:sz w:val="24"/>
              </w:rPr>
            </w:pPr>
            <w:r>
              <w:rPr>
                <w:spacing w:val="-2"/>
                <w:sz w:val="24"/>
              </w:rPr>
              <w:t>Maret</w:t>
            </w:r>
          </w:p>
        </w:tc>
        <w:tc>
          <w:tcPr>
            <w:tcW w:w="2999" w:type="dxa"/>
          </w:tcPr>
          <w:p>
            <w:pPr>
              <w:pStyle w:val="TableParagraph"/>
              <w:ind w:left="12"/>
              <w:rPr>
                <w:sz w:val="24"/>
              </w:rPr>
            </w:pPr>
            <w:r>
              <w:rPr>
                <w:spacing w:val="-2"/>
                <w:sz w:val="24"/>
              </w:rPr>
              <w:t>107.738</w:t>
            </w:r>
          </w:p>
        </w:tc>
        <w:tc>
          <w:tcPr>
            <w:tcW w:w="2500" w:type="dxa"/>
          </w:tcPr>
          <w:p>
            <w:pPr>
              <w:pStyle w:val="TableParagraph"/>
              <w:ind w:left="13"/>
              <w:rPr>
                <w:sz w:val="24"/>
              </w:rPr>
            </w:pPr>
            <w:r>
              <w:rPr>
                <w:spacing w:val="-4"/>
                <w:sz w:val="24"/>
              </w:rPr>
              <w:t>+751</w:t>
            </w:r>
          </w:p>
        </w:tc>
      </w:tr>
      <w:tr>
        <w:trPr>
          <w:trHeight w:val="315" w:hRule="atLeast"/>
        </w:trPr>
        <w:tc>
          <w:tcPr>
            <w:tcW w:w="1000" w:type="dxa"/>
            <w:shd w:val="clear" w:color="auto" w:fill="F1F1F1"/>
          </w:tcPr>
          <w:p>
            <w:pPr>
              <w:pStyle w:val="TableParagraph"/>
              <w:ind w:left="14" w:right="4"/>
              <w:jc w:val="center"/>
              <w:rPr>
                <w:sz w:val="24"/>
              </w:rPr>
            </w:pPr>
            <w:r>
              <w:rPr>
                <w:spacing w:val="-10"/>
                <w:sz w:val="24"/>
              </w:rPr>
              <w:t>4</w:t>
            </w:r>
          </w:p>
        </w:tc>
        <w:tc>
          <w:tcPr>
            <w:tcW w:w="3000" w:type="dxa"/>
            <w:shd w:val="clear" w:color="auto" w:fill="F1F1F1"/>
          </w:tcPr>
          <w:p>
            <w:pPr>
              <w:pStyle w:val="TableParagraph"/>
              <w:rPr>
                <w:sz w:val="24"/>
              </w:rPr>
            </w:pPr>
            <w:r>
              <w:rPr>
                <w:spacing w:val="-2"/>
                <w:sz w:val="24"/>
              </w:rPr>
              <w:t>April</w:t>
            </w:r>
          </w:p>
        </w:tc>
        <w:tc>
          <w:tcPr>
            <w:tcW w:w="2999" w:type="dxa"/>
            <w:shd w:val="clear" w:color="auto" w:fill="F1F1F1"/>
          </w:tcPr>
          <w:p>
            <w:pPr>
              <w:pStyle w:val="TableParagraph"/>
              <w:ind w:left="12"/>
              <w:rPr>
                <w:sz w:val="24"/>
              </w:rPr>
            </w:pPr>
            <w:r>
              <w:rPr>
                <w:spacing w:val="-2"/>
                <w:sz w:val="24"/>
              </w:rPr>
              <w:t>114.394</w:t>
            </w:r>
          </w:p>
        </w:tc>
        <w:tc>
          <w:tcPr>
            <w:tcW w:w="2500" w:type="dxa"/>
            <w:shd w:val="clear" w:color="auto" w:fill="F1F1F1"/>
          </w:tcPr>
          <w:p>
            <w:pPr>
              <w:pStyle w:val="TableParagraph"/>
              <w:ind w:left="13"/>
              <w:rPr>
                <w:sz w:val="24"/>
              </w:rPr>
            </w:pPr>
            <w:r>
              <w:rPr>
                <w:spacing w:val="-2"/>
                <w:sz w:val="24"/>
              </w:rPr>
              <w:t>+6.656</w:t>
            </w:r>
          </w:p>
        </w:tc>
      </w:tr>
      <w:tr>
        <w:trPr>
          <w:trHeight w:val="317" w:hRule="atLeast"/>
        </w:trPr>
        <w:tc>
          <w:tcPr>
            <w:tcW w:w="1000" w:type="dxa"/>
          </w:tcPr>
          <w:p>
            <w:pPr>
              <w:pStyle w:val="TableParagraph"/>
              <w:ind w:left="14" w:right="4"/>
              <w:jc w:val="center"/>
              <w:rPr>
                <w:sz w:val="24"/>
              </w:rPr>
            </w:pPr>
            <w:r>
              <w:rPr>
                <w:spacing w:val="-10"/>
                <w:sz w:val="24"/>
              </w:rPr>
              <w:t>5</w:t>
            </w:r>
          </w:p>
        </w:tc>
        <w:tc>
          <w:tcPr>
            <w:tcW w:w="3000" w:type="dxa"/>
          </w:tcPr>
          <w:p>
            <w:pPr>
              <w:pStyle w:val="TableParagraph"/>
              <w:rPr>
                <w:sz w:val="24"/>
              </w:rPr>
            </w:pPr>
            <w:r>
              <w:rPr>
                <w:spacing w:val="-5"/>
                <w:sz w:val="24"/>
              </w:rPr>
              <w:t>Mei</w:t>
            </w:r>
          </w:p>
        </w:tc>
        <w:tc>
          <w:tcPr>
            <w:tcW w:w="2999" w:type="dxa"/>
          </w:tcPr>
          <w:p>
            <w:pPr>
              <w:pStyle w:val="TableParagraph"/>
              <w:ind w:left="12"/>
              <w:rPr>
                <w:sz w:val="24"/>
              </w:rPr>
            </w:pPr>
            <w:r>
              <w:rPr>
                <w:spacing w:val="-2"/>
                <w:sz w:val="24"/>
              </w:rPr>
              <w:t>115.455</w:t>
            </w:r>
          </w:p>
        </w:tc>
        <w:tc>
          <w:tcPr>
            <w:tcW w:w="2500" w:type="dxa"/>
          </w:tcPr>
          <w:p>
            <w:pPr>
              <w:pStyle w:val="TableParagraph"/>
              <w:ind w:left="13"/>
              <w:rPr>
                <w:sz w:val="24"/>
              </w:rPr>
            </w:pPr>
            <w:r>
              <w:rPr>
                <w:spacing w:val="-2"/>
                <w:sz w:val="24"/>
              </w:rPr>
              <w:t>+1.061</w:t>
            </w:r>
          </w:p>
        </w:tc>
      </w:tr>
      <w:tr>
        <w:trPr>
          <w:trHeight w:val="318" w:hRule="atLeast"/>
        </w:trPr>
        <w:tc>
          <w:tcPr>
            <w:tcW w:w="1000" w:type="dxa"/>
            <w:shd w:val="clear" w:color="auto" w:fill="F1F1F1"/>
          </w:tcPr>
          <w:p>
            <w:pPr>
              <w:pStyle w:val="TableParagraph"/>
              <w:ind w:left="14" w:right="4"/>
              <w:jc w:val="center"/>
              <w:rPr>
                <w:sz w:val="24"/>
              </w:rPr>
            </w:pPr>
            <w:r>
              <w:rPr>
                <w:spacing w:val="-10"/>
                <w:sz w:val="24"/>
              </w:rPr>
              <w:t>6</w:t>
            </w:r>
          </w:p>
        </w:tc>
        <w:tc>
          <w:tcPr>
            <w:tcW w:w="3000" w:type="dxa"/>
            <w:shd w:val="clear" w:color="auto" w:fill="F1F1F1"/>
          </w:tcPr>
          <w:p>
            <w:pPr>
              <w:pStyle w:val="TableParagraph"/>
              <w:rPr>
                <w:sz w:val="24"/>
              </w:rPr>
            </w:pPr>
            <w:r>
              <w:rPr>
                <w:spacing w:val="-4"/>
                <w:sz w:val="24"/>
              </w:rPr>
              <w:t>Juni</w:t>
            </w:r>
          </w:p>
        </w:tc>
        <w:tc>
          <w:tcPr>
            <w:tcW w:w="2999" w:type="dxa"/>
            <w:shd w:val="clear" w:color="auto" w:fill="F1F1F1"/>
          </w:tcPr>
          <w:p>
            <w:pPr>
              <w:pStyle w:val="TableParagraph"/>
              <w:ind w:left="12"/>
              <w:rPr>
                <w:sz w:val="24"/>
              </w:rPr>
            </w:pPr>
            <w:r>
              <w:rPr>
                <w:spacing w:val="-2"/>
                <w:sz w:val="24"/>
              </w:rPr>
              <w:t>140.211</w:t>
            </w:r>
          </w:p>
        </w:tc>
        <w:tc>
          <w:tcPr>
            <w:tcW w:w="2500" w:type="dxa"/>
            <w:shd w:val="clear" w:color="auto" w:fill="F1F1F1"/>
          </w:tcPr>
          <w:p>
            <w:pPr>
              <w:pStyle w:val="TableParagraph"/>
              <w:ind w:left="13"/>
              <w:rPr>
                <w:sz w:val="24"/>
              </w:rPr>
            </w:pPr>
            <w:r>
              <w:rPr>
                <w:spacing w:val="-2"/>
                <w:sz w:val="24"/>
              </w:rPr>
              <w:t>+24.756</w:t>
            </w:r>
          </w:p>
        </w:tc>
      </w:tr>
      <w:tr>
        <w:trPr>
          <w:trHeight w:val="317" w:hRule="atLeast"/>
        </w:trPr>
        <w:tc>
          <w:tcPr>
            <w:tcW w:w="1000" w:type="dxa"/>
          </w:tcPr>
          <w:p>
            <w:pPr>
              <w:pStyle w:val="TableParagraph"/>
              <w:ind w:left="14" w:right="4"/>
              <w:jc w:val="center"/>
              <w:rPr>
                <w:sz w:val="24"/>
              </w:rPr>
            </w:pPr>
            <w:r>
              <w:rPr>
                <w:spacing w:val="-10"/>
                <w:sz w:val="24"/>
              </w:rPr>
              <w:t>7</w:t>
            </w:r>
          </w:p>
        </w:tc>
        <w:tc>
          <w:tcPr>
            <w:tcW w:w="3000" w:type="dxa"/>
          </w:tcPr>
          <w:p>
            <w:pPr>
              <w:pStyle w:val="TableParagraph"/>
              <w:rPr>
                <w:sz w:val="24"/>
              </w:rPr>
            </w:pPr>
            <w:r>
              <w:rPr>
                <w:spacing w:val="-4"/>
                <w:sz w:val="24"/>
              </w:rPr>
              <w:t>Juli</w:t>
            </w:r>
          </w:p>
        </w:tc>
        <w:tc>
          <w:tcPr>
            <w:tcW w:w="2999" w:type="dxa"/>
          </w:tcPr>
          <w:p>
            <w:pPr>
              <w:pStyle w:val="TableParagraph"/>
              <w:ind w:left="12"/>
              <w:rPr>
                <w:sz w:val="24"/>
              </w:rPr>
            </w:pPr>
            <w:r>
              <w:rPr>
                <w:spacing w:val="-2"/>
                <w:sz w:val="24"/>
              </w:rPr>
              <w:t>143.152</w:t>
            </w:r>
          </w:p>
        </w:tc>
        <w:tc>
          <w:tcPr>
            <w:tcW w:w="2500" w:type="dxa"/>
          </w:tcPr>
          <w:p>
            <w:pPr>
              <w:pStyle w:val="TableParagraph"/>
              <w:ind w:left="13"/>
              <w:rPr>
                <w:sz w:val="24"/>
              </w:rPr>
            </w:pPr>
            <w:r>
              <w:rPr>
                <w:spacing w:val="-2"/>
                <w:sz w:val="24"/>
              </w:rPr>
              <w:t>+2.941</w:t>
            </w:r>
          </w:p>
        </w:tc>
      </w:tr>
      <w:tr>
        <w:trPr>
          <w:trHeight w:val="316" w:hRule="atLeast"/>
        </w:trPr>
        <w:tc>
          <w:tcPr>
            <w:tcW w:w="1000" w:type="dxa"/>
            <w:shd w:val="clear" w:color="auto" w:fill="F1F1F1"/>
          </w:tcPr>
          <w:p>
            <w:pPr>
              <w:pStyle w:val="TableParagraph"/>
              <w:ind w:left="14" w:right="4"/>
              <w:jc w:val="center"/>
              <w:rPr>
                <w:sz w:val="24"/>
              </w:rPr>
            </w:pPr>
            <w:r>
              <w:rPr>
                <w:spacing w:val="-10"/>
                <w:sz w:val="24"/>
              </w:rPr>
              <w:t>8</w:t>
            </w:r>
          </w:p>
        </w:tc>
        <w:tc>
          <w:tcPr>
            <w:tcW w:w="3000" w:type="dxa"/>
            <w:shd w:val="clear" w:color="auto" w:fill="F1F1F1"/>
          </w:tcPr>
          <w:p>
            <w:pPr>
              <w:pStyle w:val="TableParagraph"/>
              <w:rPr>
                <w:sz w:val="24"/>
              </w:rPr>
            </w:pPr>
            <w:r>
              <w:rPr>
                <w:spacing w:val="-2"/>
                <w:sz w:val="24"/>
              </w:rPr>
              <w:t>Agustus</w:t>
            </w:r>
          </w:p>
        </w:tc>
        <w:tc>
          <w:tcPr>
            <w:tcW w:w="2999" w:type="dxa"/>
            <w:shd w:val="clear" w:color="auto" w:fill="F1F1F1"/>
          </w:tcPr>
          <w:p>
            <w:pPr>
              <w:pStyle w:val="TableParagraph"/>
              <w:ind w:left="12"/>
              <w:rPr>
                <w:sz w:val="24"/>
              </w:rPr>
            </w:pPr>
            <w:r>
              <w:rPr>
                <w:spacing w:val="-2"/>
                <w:sz w:val="24"/>
              </w:rPr>
              <w:t>154.275</w:t>
            </w:r>
          </w:p>
        </w:tc>
        <w:tc>
          <w:tcPr>
            <w:tcW w:w="2500" w:type="dxa"/>
            <w:shd w:val="clear" w:color="auto" w:fill="F1F1F1"/>
          </w:tcPr>
          <w:p>
            <w:pPr>
              <w:pStyle w:val="TableParagraph"/>
              <w:ind w:left="13"/>
              <w:rPr>
                <w:sz w:val="24"/>
              </w:rPr>
            </w:pPr>
            <w:r>
              <w:rPr>
                <w:spacing w:val="-2"/>
                <w:sz w:val="24"/>
              </w:rPr>
              <w:t>+11.123</w:t>
            </w:r>
          </w:p>
        </w:tc>
      </w:tr>
      <w:tr>
        <w:trPr>
          <w:trHeight w:val="317" w:hRule="atLeast"/>
        </w:trPr>
        <w:tc>
          <w:tcPr>
            <w:tcW w:w="1000" w:type="dxa"/>
          </w:tcPr>
          <w:p>
            <w:pPr>
              <w:pStyle w:val="TableParagraph"/>
              <w:ind w:left="14" w:right="4"/>
              <w:jc w:val="center"/>
              <w:rPr>
                <w:sz w:val="24"/>
              </w:rPr>
            </w:pPr>
            <w:r>
              <w:rPr>
                <w:spacing w:val="-10"/>
                <w:sz w:val="24"/>
              </w:rPr>
              <w:t>9</w:t>
            </w:r>
          </w:p>
        </w:tc>
        <w:tc>
          <w:tcPr>
            <w:tcW w:w="3000" w:type="dxa"/>
          </w:tcPr>
          <w:p>
            <w:pPr>
              <w:pStyle w:val="TableParagraph"/>
              <w:rPr>
                <w:sz w:val="24"/>
              </w:rPr>
            </w:pPr>
            <w:r>
              <w:rPr>
                <w:spacing w:val="-2"/>
                <w:sz w:val="24"/>
              </w:rPr>
              <w:t>September</w:t>
            </w:r>
          </w:p>
        </w:tc>
        <w:tc>
          <w:tcPr>
            <w:tcW w:w="2999" w:type="dxa"/>
          </w:tcPr>
          <w:p>
            <w:pPr>
              <w:pStyle w:val="TableParagraph"/>
              <w:ind w:left="12"/>
              <w:rPr>
                <w:sz w:val="24"/>
              </w:rPr>
            </w:pPr>
            <w:r>
              <w:rPr>
                <w:spacing w:val="-2"/>
                <w:sz w:val="24"/>
              </w:rPr>
              <w:t>160.470</w:t>
            </w:r>
          </w:p>
        </w:tc>
        <w:tc>
          <w:tcPr>
            <w:tcW w:w="2500" w:type="dxa"/>
          </w:tcPr>
          <w:p>
            <w:pPr>
              <w:pStyle w:val="TableParagraph"/>
              <w:ind w:left="13"/>
              <w:rPr>
                <w:sz w:val="24"/>
              </w:rPr>
            </w:pPr>
            <w:r>
              <w:rPr>
                <w:spacing w:val="-2"/>
                <w:sz w:val="24"/>
              </w:rPr>
              <w:t>+6.195</w:t>
            </w:r>
          </w:p>
        </w:tc>
      </w:tr>
      <w:tr>
        <w:trPr>
          <w:trHeight w:val="318" w:hRule="atLeast"/>
        </w:trPr>
        <w:tc>
          <w:tcPr>
            <w:tcW w:w="1000" w:type="dxa"/>
            <w:shd w:val="clear" w:color="auto" w:fill="F1F1F1"/>
          </w:tcPr>
          <w:p>
            <w:pPr>
              <w:pStyle w:val="TableParagraph"/>
              <w:ind w:left="14" w:right="1"/>
              <w:jc w:val="center"/>
              <w:rPr>
                <w:sz w:val="24"/>
              </w:rPr>
            </w:pPr>
            <w:r>
              <w:rPr>
                <w:spacing w:val="-5"/>
                <w:sz w:val="24"/>
              </w:rPr>
              <w:t>10</w:t>
            </w:r>
          </w:p>
        </w:tc>
        <w:tc>
          <w:tcPr>
            <w:tcW w:w="3000" w:type="dxa"/>
            <w:shd w:val="clear" w:color="auto" w:fill="F1F1F1"/>
          </w:tcPr>
          <w:p>
            <w:pPr>
              <w:pStyle w:val="TableParagraph"/>
              <w:rPr>
                <w:sz w:val="24"/>
              </w:rPr>
            </w:pPr>
            <w:r>
              <w:rPr>
                <w:spacing w:val="-2"/>
                <w:sz w:val="24"/>
              </w:rPr>
              <w:t>Oktober</w:t>
            </w:r>
          </w:p>
        </w:tc>
        <w:tc>
          <w:tcPr>
            <w:tcW w:w="2999" w:type="dxa"/>
            <w:shd w:val="clear" w:color="auto" w:fill="F1F1F1"/>
          </w:tcPr>
          <w:p>
            <w:pPr>
              <w:pStyle w:val="TableParagraph"/>
              <w:ind w:left="12"/>
              <w:rPr>
                <w:sz w:val="24"/>
              </w:rPr>
            </w:pPr>
            <w:r>
              <w:rPr>
                <w:spacing w:val="-2"/>
                <w:sz w:val="24"/>
              </w:rPr>
              <w:t>160.913</w:t>
            </w:r>
          </w:p>
        </w:tc>
        <w:tc>
          <w:tcPr>
            <w:tcW w:w="2500" w:type="dxa"/>
            <w:shd w:val="clear" w:color="auto" w:fill="F1F1F1"/>
          </w:tcPr>
          <w:p>
            <w:pPr>
              <w:pStyle w:val="TableParagraph"/>
              <w:ind w:left="13"/>
              <w:rPr>
                <w:sz w:val="24"/>
              </w:rPr>
            </w:pPr>
            <w:r>
              <w:rPr>
                <w:spacing w:val="-4"/>
                <w:sz w:val="24"/>
              </w:rPr>
              <w:t>+443</w:t>
            </w:r>
          </w:p>
        </w:tc>
      </w:tr>
      <w:tr>
        <w:trPr>
          <w:trHeight w:val="315" w:hRule="atLeast"/>
        </w:trPr>
        <w:tc>
          <w:tcPr>
            <w:tcW w:w="1000" w:type="dxa"/>
          </w:tcPr>
          <w:p>
            <w:pPr>
              <w:pStyle w:val="TableParagraph"/>
              <w:ind w:left="14" w:right="1"/>
              <w:jc w:val="center"/>
              <w:rPr>
                <w:sz w:val="24"/>
              </w:rPr>
            </w:pPr>
            <w:r>
              <w:rPr>
                <w:spacing w:val="-5"/>
                <w:sz w:val="24"/>
              </w:rPr>
              <w:t>11</w:t>
            </w:r>
          </w:p>
        </w:tc>
        <w:tc>
          <w:tcPr>
            <w:tcW w:w="3000" w:type="dxa"/>
          </w:tcPr>
          <w:p>
            <w:pPr>
              <w:pStyle w:val="TableParagraph"/>
              <w:rPr>
                <w:sz w:val="24"/>
              </w:rPr>
            </w:pPr>
            <w:r>
              <w:rPr>
                <w:spacing w:val="-2"/>
                <w:sz w:val="24"/>
              </w:rPr>
              <w:t>November</w:t>
            </w:r>
          </w:p>
        </w:tc>
        <w:tc>
          <w:tcPr>
            <w:tcW w:w="2999" w:type="dxa"/>
          </w:tcPr>
          <w:p>
            <w:pPr>
              <w:pStyle w:val="TableParagraph"/>
              <w:ind w:left="12"/>
              <w:rPr>
                <w:sz w:val="24"/>
              </w:rPr>
            </w:pPr>
            <w:r>
              <w:rPr>
                <w:spacing w:val="-2"/>
                <w:sz w:val="24"/>
              </w:rPr>
              <w:t>161.097</w:t>
            </w:r>
          </w:p>
        </w:tc>
        <w:tc>
          <w:tcPr>
            <w:tcW w:w="2500" w:type="dxa"/>
          </w:tcPr>
          <w:p>
            <w:pPr>
              <w:pStyle w:val="TableParagraph"/>
              <w:ind w:left="13"/>
              <w:rPr>
                <w:sz w:val="24"/>
              </w:rPr>
            </w:pPr>
            <w:r>
              <w:rPr>
                <w:spacing w:val="-4"/>
                <w:sz w:val="24"/>
              </w:rPr>
              <w:t>+184</w:t>
            </w:r>
          </w:p>
        </w:tc>
      </w:tr>
      <w:tr>
        <w:trPr>
          <w:trHeight w:val="315" w:hRule="atLeast"/>
        </w:trPr>
        <w:tc>
          <w:tcPr>
            <w:tcW w:w="1000" w:type="dxa"/>
            <w:tcBorders>
              <w:bottom w:val="single" w:sz="6" w:space="0" w:color="000000"/>
            </w:tcBorders>
            <w:shd w:val="clear" w:color="auto" w:fill="F1F1F1"/>
          </w:tcPr>
          <w:p>
            <w:pPr>
              <w:pStyle w:val="TableParagraph"/>
              <w:ind w:left="14" w:right="1"/>
              <w:jc w:val="center"/>
              <w:rPr>
                <w:sz w:val="24"/>
              </w:rPr>
            </w:pPr>
            <w:r>
              <w:rPr>
                <w:spacing w:val="-5"/>
                <w:sz w:val="24"/>
              </w:rPr>
              <w:t>12</w:t>
            </w:r>
          </w:p>
        </w:tc>
        <w:tc>
          <w:tcPr>
            <w:tcW w:w="3000" w:type="dxa"/>
            <w:tcBorders>
              <w:bottom w:val="single" w:sz="6" w:space="0" w:color="000000"/>
            </w:tcBorders>
            <w:shd w:val="clear" w:color="auto" w:fill="F1F1F1"/>
          </w:tcPr>
          <w:p>
            <w:pPr>
              <w:pStyle w:val="TableParagraph"/>
              <w:rPr>
                <w:sz w:val="24"/>
              </w:rPr>
            </w:pPr>
            <w:r>
              <w:rPr>
                <w:spacing w:val="-2"/>
                <w:sz w:val="24"/>
              </w:rPr>
              <w:t>Desember</w:t>
            </w:r>
          </w:p>
        </w:tc>
        <w:tc>
          <w:tcPr>
            <w:tcW w:w="2999" w:type="dxa"/>
            <w:tcBorders>
              <w:bottom w:val="single" w:sz="6" w:space="0" w:color="000000"/>
            </w:tcBorders>
            <w:shd w:val="clear" w:color="auto" w:fill="F1F1F1"/>
          </w:tcPr>
          <w:p>
            <w:pPr>
              <w:pStyle w:val="TableParagraph"/>
              <w:ind w:left="12"/>
              <w:rPr>
                <w:sz w:val="24"/>
              </w:rPr>
            </w:pPr>
            <w:r>
              <w:rPr>
                <w:spacing w:val="-2"/>
                <w:sz w:val="24"/>
              </w:rPr>
              <w:t>168.581</w:t>
            </w:r>
          </w:p>
        </w:tc>
        <w:tc>
          <w:tcPr>
            <w:tcW w:w="2500" w:type="dxa"/>
            <w:tcBorders>
              <w:bottom w:val="single" w:sz="6" w:space="0" w:color="000000"/>
            </w:tcBorders>
            <w:shd w:val="clear" w:color="auto" w:fill="F1F1F1"/>
          </w:tcPr>
          <w:p>
            <w:pPr>
              <w:pStyle w:val="TableParagraph"/>
              <w:ind w:left="13"/>
              <w:rPr>
                <w:sz w:val="24"/>
              </w:rPr>
            </w:pPr>
            <w:r>
              <w:rPr>
                <w:spacing w:val="-2"/>
                <w:sz w:val="24"/>
              </w:rPr>
              <w:t>+7.484</w:t>
            </w:r>
          </w:p>
        </w:tc>
      </w:tr>
    </w:tbl>
    <w:p>
      <w:pPr>
        <w:spacing w:line="276" w:lineRule="auto" w:before="4"/>
        <w:ind w:left="165" w:right="592" w:firstLine="0"/>
        <w:jc w:val="both"/>
        <w:rPr>
          <w:rFonts w:ascii="Arial"/>
          <w:i/>
          <w:sz w:val="22"/>
        </w:rPr>
      </w:pPr>
      <w:r>
        <w:rPr>
          <w:rFonts w:ascii="Arial"/>
          <w:i/>
          <w:color w:val="585858"/>
          <w:sz w:val="22"/>
        </w:rPr>
        <w:t>Catatan: Total kenaikan sepanjang tahun 2025 tercatat sebesar 62.016 jiwa, atau setara dengan pertumbuhan sebesar 58.2% dibandingkan posisi awal tahun (Januari 2025).</w:t>
      </w:r>
    </w:p>
    <w:p>
      <w:pPr>
        <w:pStyle w:val="BodyText"/>
        <w:spacing w:before="44"/>
        <w:rPr>
          <w:rFonts w:ascii="Arial"/>
          <w:i/>
          <w:sz w:val="22"/>
        </w:rPr>
      </w:pPr>
    </w:p>
    <w:p>
      <w:pPr>
        <w:pStyle w:val="Heading2"/>
        <w:numPr>
          <w:ilvl w:val="0"/>
          <w:numId w:val="1"/>
        </w:numPr>
        <w:tabs>
          <w:tab w:pos="462" w:val="left" w:leader="none"/>
        </w:tabs>
        <w:spacing w:line="240" w:lineRule="auto" w:before="1" w:after="0"/>
        <w:ind w:left="462" w:right="0" w:hanging="297"/>
        <w:jc w:val="left"/>
      </w:pPr>
      <w:r>
        <w:rPr/>
        <w:t>Analisis</w:t>
      </w:r>
      <w:r>
        <w:rPr>
          <w:spacing w:val="-4"/>
        </w:rPr>
        <w:t> </w:t>
      </w:r>
      <w:r>
        <w:rPr/>
        <w:t>dan</w:t>
      </w:r>
      <w:r>
        <w:rPr>
          <w:spacing w:val="-5"/>
        </w:rPr>
        <w:t> </w:t>
      </w:r>
      <w:r>
        <w:rPr>
          <w:spacing w:val="-2"/>
        </w:rPr>
        <w:t>Pembahasan</w:t>
      </w:r>
    </w:p>
    <w:p>
      <w:pPr>
        <w:pStyle w:val="BodyText"/>
        <w:spacing w:line="280" w:lineRule="auto" w:before="195"/>
        <w:ind w:left="165" w:right="588"/>
        <w:jc w:val="both"/>
      </w:pPr>
      <w:r>
        <w:rPr/>
        <w:t>Berdasarkan data yang disajikan, jumlah peserta penerima PBPU Pemda di Kabupaten Gowa menunjukkan tren peningkatan yang konsisten sepanjang tahun 2025. Pada awal tahun, jumlah peserta tercatat sebanyak 106.565 jiwa pada bulan Januari, kemudian mengalami peningkatan bertahap menjadi 106.987 jiwa pada Februari dan 107.738 jiwa pada Maret.</w:t>
      </w:r>
    </w:p>
    <w:p>
      <w:pPr>
        <w:pStyle w:val="BodyText"/>
        <w:spacing w:line="280" w:lineRule="auto" w:before="197"/>
        <w:ind w:left="165" w:right="586"/>
        <w:jc w:val="both"/>
      </w:pPr>
      <w:r>
        <w:rPr/>
        <w:t>Memasuki triwulan kedua, peningkatan mulai lebih terlihat, dengan jumlah peserta mencapai 114.394 jiwa pada April dan 115.455 jiwa pada Mei. Peningkatan paling signifikan</w:t>
      </w:r>
      <w:r>
        <w:rPr>
          <w:spacing w:val="27"/>
        </w:rPr>
        <w:t> </w:t>
      </w:r>
      <w:r>
        <w:rPr/>
        <w:t>terjadi</w:t>
      </w:r>
      <w:r>
        <w:rPr>
          <w:spacing w:val="27"/>
        </w:rPr>
        <w:t> </w:t>
      </w:r>
      <w:r>
        <w:rPr/>
        <w:t>pada</w:t>
      </w:r>
      <w:r>
        <w:rPr>
          <w:spacing w:val="27"/>
        </w:rPr>
        <w:t> </w:t>
      </w:r>
      <w:r>
        <w:rPr/>
        <w:t>bulan</w:t>
      </w:r>
      <w:r>
        <w:rPr>
          <w:spacing w:val="28"/>
        </w:rPr>
        <w:t> </w:t>
      </w:r>
      <w:r>
        <w:rPr/>
        <w:t>Juni,</w:t>
      </w:r>
      <w:r>
        <w:rPr>
          <w:spacing w:val="27"/>
        </w:rPr>
        <w:t> </w:t>
      </w:r>
      <w:r>
        <w:rPr/>
        <w:t>di</w:t>
      </w:r>
      <w:r>
        <w:rPr>
          <w:spacing w:val="27"/>
        </w:rPr>
        <w:t> </w:t>
      </w:r>
      <w:r>
        <w:rPr/>
        <w:t>mana</w:t>
      </w:r>
      <w:r>
        <w:rPr>
          <w:spacing w:val="27"/>
        </w:rPr>
        <w:t> </w:t>
      </w:r>
      <w:r>
        <w:rPr/>
        <w:t>jumlah</w:t>
      </w:r>
      <w:r>
        <w:rPr>
          <w:spacing w:val="27"/>
        </w:rPr>
        <w:t> </w:t>
      </w:r>
      <w:r>
        <w:rPr/>
        <w:t>peserta</w:t>
      </w:r>
      <w:r>
        <w:rPr>
          <w:spacing w:val="27"/>
        </w:rPr>
        <w:t> </w:t>
      </w:r>
      <w:r>
        <w:rPr/>
        <w:t>melonjak</w:t>
      </w:r>
      <w:r>
        <w:rPr>
          <w:spacing w:val="27"/>
        </w:rPr>
        <w:t> </w:t>
      </w:r>
      <w:r>
        <w:rPr/>
        <w:t>tajam</w:t>
      </w:r>
      <w:r>
        <w:rPr>
          <w:spacing w:val="27"/>
        </w:rPr>
        <w:t> </w:t>
      </w:r>
      <w:r>
        <w:rPr/>
        <w:t>menjadi</w:t>
      </w:r>
    </w:p>
    <w:p>
      <w:pPr>
        <w:pStyle w:val="BodyText"/>
        <w:spacing w:line="280" w:lineRule="auto"/>
        <w:ind w:left="165" w:right="591"/>
        <w:jc w:val="both"/>
      </w:pPr>
      <w:r>
        <w:rPr/>
        <w:t>140.211 jiwa, atau bertambah sekitar 24.756 jiwa dibandingkan bulan sebelumnya. Tren peningkatan ini terus berlanjut pada Juli (143.152 jiwa) dan Agustus (154.275 </w:t>
      </w:r>
      <w:r>
        <w:rPr>
          <w:spacing w:val="-2"/>
        </w:rPr>
        <w:t>jiwa).</w:t>
      </w:r>
    </w:p>
    <w:p>
      <w:pPr>
        <w:pStyle w:val="BodyText"/>
        <w:spacing w:line="280" w:lineRule="auto" w:before="198"/>
        <w:ind w:left="165" w:right="589"/>
        <w:jc w:val="both"/>
      </w:pPr>
      <w:r>
        <w:rPr/>
        <w:t>Memasuki triwulan keempat, pertumbuhan jumlah peserta mulai melandai namun tetap</w:t>
      </w:r>
      <w:r>
        <w:rPr>
          <w:spacing w:val="-14"/>
        </w:rPr>
        <w:t> </w:t>
      </w:r>
      <w:r>
        <w:rPr/>
        <w:t>stabil</w:t>
      </w:r>
      <w:r>
        <w:rPr>
          <w:spacing w:val="-14"/>
        </w:rPr>
        <w:t> </w:t>
      </w:r>
      <w:r>
        <w:rPr/>
        <w:t>pada</w:t>
      </w:r>
      <w:r>
        <w:rPr>
          <w:spacing w:val="-15"/>
        </w:rPr>
        <w:t> </w:t>
      </w:r>
      <w:r>
        <w:rPr/>
        <w:t>kisaran</w:t>
      </w:r>
      <w:r>
        <w:rPr>
          <w:spacing w:val="-14"/>
        </w:rPr>
        <w:t> </w:t>
      </w:r>
      <w:r>
        <w:rPr/>
        <w:t>160</w:t>
      </w:r>
      <w:r>
        <w:rPr>
          <w:spacing w:val="-15"/>
        </w:rPr>
        <w:t> </w:t>
      </w:r>
      <w:r>
        <w:rPr/>
        <w:t>ribuan,</w:t>
      </w:r>
      <w:r>
        <w:rPr>
          <w:spacing w:val="-13"/>
        </w:rPr>
        <w:t> </w:t>
      </w:r>
      <w:r>
        <w:rPr/>
        <w:t>yaitu</w:t>
      </w:r>
      <w:r>
        <w:rPr>
          <w:spacing w:val="-15"/>
        </w:rPr>
        <w:t> </w:t>
      </w:r>
      <w:r>
        <w:rPr/>
        <w:t>160.470</w:t>
      </w:r>
      <w:r>
        <w:rPr>
          <w:spacing w:val="-14"/>
        </w:rPr>
        <w:t> </w:t>
      </w:r>
      <w:r>
        <w:rPr/>
        <w:t>jiwa</w:t>
      </w:r>
      <w:r>
        <w:rPr>
          <w:spacing w:val="-14"/>
        </w:rPr>
        <w:t> </w:t>
      </w:r>
      <w:r>
        <w:rPr/>
        <w:t>pada</w:t>
      </w:r>
      <w:r>
        <w:rPr>
          <w:spacing w:val="-15"/>
        </w:rPr>
        <w:t> </w:t>
      </w:r>
      <w:r>
        <w:rPr/>
        <w:t>September,</w:t>
      </w:r>
      <w:r>
        <w:rPr>
          <w:spacing w:val="-15"/>
        </w:rPr>
        <w:t> </w:t>
      </w:r>
      <w:r>
        <w:rPr/>
        <w:t>160.913</w:t>
      </w:r>
      <w:r>
        <w:rPr>
          <w:spacing w:val="-14"/>
        </w:rPr>
        <w:t> </w:t>
      </w:r>
      <w:r>
        <w:rPr/>
        <w:t>jiwa pada Oktober, dan 161.097 jiwa pada November. Pada akhir tahun, jumlah peserta kembali meningkat dan mencapai titik tertinggi sepanjang tahun 2025, yaitu 168.581 jiwa pada bulan Desember.</w:t>
      </w:r>
    </w:p>
    <w:p>
      <w:pPr>
        <w:pStyle w:val="BodyText"/>
        <w:spacing w:line="280" w:lineRule="auto" w:before="199"/>
        <w:ind w:left="165" w:right="588"/>
        <w:jc w:val="both"/>
      </w:pPr>
      <w:r>
        <w:rPr/>
        <w:t>Secara keseluruhan, dari Januari hingga Desember 2025, jumlah penerima PBPU Pemda meningkat sebesar 62.016 jiwa, atau setara dengan pertumbuhan sekitar 58.2%. Tren ini mengindikasikan semakin meningkatnya jumlah kepesertaan masyarakat</w:t>
      </w:r>
      <w:r>
        <w:rPr>
          <w:spacing w:val="35"/>
        </w:rPr>
        <w:t> </w:t>
      </w:r>
      <w:r>
        <w:rPr/>
        <w:t>Kabupaten</w:t>
      </w:r>
      <w:r>
        <w:rPr>
          <w:spacing w:val="34"/>
        </w:rPr>
        <w:t> </w:t>
      </w:r>
      <w:r>
        <w:rPr/>
        <w:t>Gowa</w:t>
      </w:r>
      <w:r>
        <w:rPr>
          <w:spacing w:val="34"/>
        </w:rPr>
        <w:t> </w:t>
      </w:r>
      <w:r>
        <w:rPr/>
        <w:t>dalam</w:t>
      </w:r>
      <w:r>
        <w:rPr>
          <w:spacing w:val="34"/>
        </w:rPr>
        <w:t> </w:t>
      </w:r>
      <w:r>
        <w:rPr/>
        <w:t>Program</w:t>
      </w:r>
      <w:r>
        <w:rPr>
          <w:spacing w:val="34"/>
        </w:rPr>
        <w:t> </w:t>
      </w:r>
      <w:r>
        <w:rPr/>
        <w:t>Jaminan</w:t>
      </w:r>
      <w:r>
        <w:rPr>
          <w:spacing w:val="32"/>
        </w:rPr>
        <w:t> </w:t>
      </w:r>
      <w:r>
        <w:rPr/>
        <w:t>Kesehatan</w:t>
      </w:r>
      <w:r>
        <w:rPr>
          <w:spacing w:val="34"/>
        </w:rPr>
        <w:t> </w:t>
      </w:r>
      <w:r>
        <w:rPr/>
        <w:t>Nasional</w:t>
      </w:r>
      <w:r>
        <w:rPr>
          <w:spacing w:val="34"/>
        </w:rPr>
        <w:t> </w:t>
      </w:r>
      <w:r>
        <w:rPr/>
        <w:t>(JKN)</w:t>
      </w:r>
    </w:p>
    <w:p>
      <w:pPr>
        <w:pStyle w:val="BodyText"/>
        <w:spacing w:after="0" w:line="280" w:lineRule="auto"/>
        <w:jc w:val="both"/>
        <w:sectPr>
          <w:pgSz w:w="11910" w:h="16840"/>
          <w:pgMar w:header="718" w:footer="0" w:top="1340" w:bottom="280" w:left="1275" w:right="850"/>
        </w:sectPr>
      </w:pPr>
    </w:p>
    <w:p>
      <w:pPr>
        <w:pStyle w:val="BodyText"/>
        <w:spacing w:line="280" w:lineRule="auto" w:before="86"/>
        <w:ind w:left="165" w:right="586"/>
        <w:jc w:val="both"/>
      </w:pPr>
      <w:r>
        <w:rPr/>
        <w:t>melalui skema PBPU yang dibiayai oleh Pemerintah Daerah, dengan peningkatan paling signifikan terjadi pada pertengahan tahun, khususnya dari bulan Mei ke Juni. Peningkatan</w:t>
      </w:r>
      <w:r>
        <w:rPr>
          <w:spacing w:val="-16"/>
        </w:rPr>
        <w:t> </w:t>
      </w:r>
      <w:r>
        <w:rPr/>
        <w:t>kepesertaan</w:t>
      </w:r>
      <w:r>
        <w:rPr>
          <w:spacing w:val="-16"/>
        </w:rPr>
        <w:t> </w:t>
      </w:r>
      <w:r>
        <w:rPr/>
        <w:t>ini</w:t>
      </w:r>
      <w:r>
        <w:rPr>
          <w:spacing w:val="-16"/>
        </w:rPr>
        <w:t> </w:t>
      </w:r>
      <w:r>
        <w:rPr/>
        <w:t>dilakukan</w:t>
      </w:r>
      <w:r>
        <w:rPr>
          <w:spacing w:val="-16"/>
        </w:rPr>
        <w:t> </w:t>
      </w:r>
      <w:r>
        <w:rPr/>
        <w:t>untuk</w:t>
      </w:r>
      <w:r>
        <w:rPr>
          <w:spacing w:val="-16"/>
        </w:rPr>
        <w:t> </w:t>
      </w:r>
      <w:r>
        <w:rPr/>
        <w:t>mempertahankan</w:t>
      </w:r>
      <w:r>
        <w:rPr>
          <w:spacing w:val="-16"/>
        </w:rPr>
        <w:t> </w:t>
      </w:r>
      <w:r>
        <w:rPr/>
        <w:t>predikat</w:t>
      </w:r>
      <w:r>
        <w:rPr>
          <w:spacing w:val="-16"/>
        </w:rPr>
        <w:t> </w:t>
      </w:r>
      <w:r>
        <w:rPr/>
        <w:t>UHC</w:t>
      </w:r>
      <w:r>
        <w:rPr>
          <w:spacing w:val="-16"/>
        </w:rPr>
        <w:t> </w:t>
      </w:r>
      <w:r>
        <w:rPr/>
        <w:t>Prioritas pada kerja sama antara BPJS Kesehatan dan Pemerintah Daerah Kab. Gowa sehingga dapat memaksimalkan pelayanan bagi warga Kab. Gowa dibidang </w:t>
      </w:r>
      <w:r>
        <w:rPr>
          <w:spacing w:val="-2"/>
        </w:rPr>
        <w:t>kesehatan.</w:t>
      </w:r>
    </w:p>
    <w:p>
      <w:pPr>
        <w:pStyle w:val="BodyText"/>
        <w:spacing w:before="22"/>
      </w:pPr>
    </w:p>
    <w:p>
      <w:pPr>
        <w:pStyle w:val="ListParagraph"/>
        <w:numPr>
          <w:ilvl w:val="0"/>
          <w:numId w:val="1"/>
        </w:numPr>
        <w:tabs>
          <w:tab w:pos="521" w:val="left" w:leader="none"/>
        </w:tabs>
        <w:spacing w:line="240" w:lineRule="auto" w:before="0" w:after="0"/>
        <w:ind w:left="521" w:right="0" w:hanging="356"/>
        <w:jc w:val="left"/>
        <w:rPr>
          <w:rFonts w:ascii="Arial"/>
          <w:b/>
          <w:color w:val="1F3863"/>
          <w:sz w:val="24"/>
        </w:rPr>
      </w:pPr>
      <w:r>
        <w:rPr>
          <w:rFonts w:ascii="Arial"/>
          <w:b/>
          <w:color w:val="1F3863"/>
          <w:spacing w:val="-2"/>
          <w:sz w:val="24"/>
        </w:rPr>
        <w:t>Kesimpulan</w:t>
      </w:r>
    </w:p>
    <w:p>
      <w:pPr>
        <w:pStyle w:val="ListParagraph"/>
        <w:numPr>
          <w:ilvl w:val="1"/>
          <w:numId w:val="1"/>
        </w:numPr>
        <w:tabs>
          <w:tab w:pos="885" w:val="left" w:leader="none"/>
        </w:tabs>
        <w:spacing w:line="278" w:lineRule="auto" w:before="196" w:after="0"/>
        <w:ind w:left="885" w:right="591" w:hanging="360"/>
        <w:jc w:val="left"/>
        <w:rPr>
          <w:sz w:val="24"/>
        </w:rPr>
      </w:pPr>
      <w:r>
        <w:rPr>
          <w:sz w:val="24"/>
        </w:rPr>
        <w:t>Jumlah</w:t>
      </w:r>
      <w:r>
        <w:rPr>
          <w:spacing w:val="80"/>
          <w:w w:val="150"/>
          <w:sz w:val="24"/>
        </w:rPr>
        <w:t> </w:t>
      </w:r>
      <w:r>
        <w:rPr>
          <w:sz w:val="24"/>
        </w:rPr>
        <w:t>penerima</w:t>
      </w:r>
      <w:r>
        <w:rPr>
          <w:spacing w:val="80"/>
          <w:w w:val="150"/>
          <w:sz w:val="24"/>
        </w:rPr>
        <w:t> </w:t>
      </w:r>
      <w:r>
        <w:rPr>
          <w:sz w:val="24"/>
        </w:rPr>
        <w:t>PBPU</w:t>
      </w:r>
      <w:r>
        <w:rPr>
          <w:spacing w:val="80"/>
          <w:w w:val="150"/>
          <w:sz w:val="24"/>
        </w:rPr>
        <w:t> </w:t>
      </w:r>
      <w:r>
        <w:rPr>
          <w:sz w:val="24"/>
        </w:rPr>
        <w:t>Pemda</w:t>
      </w:r>
      <w:r>
        <w:rPr>
          <w:spacing w:val="80"/>
          <w:w w:val="150"/>
          <w:sz w:val="24"/>
        </w:rPr>
        <w:t> </w:t>
      </w:r>
      <w:r>
        <w:rPr>
          <w:sz w:val="24"/>
        </w:rPr>
        <w:t>di</w:t>
      </w:r>
      <w:r>
        <w:rPr>
          <w:spacing w:val="80"/>
          <w:w w:val="150"/>
          <w:sz w:val="24"/>
        </w:rPr>
        <w:t> </w:t>
      </w:r>
      <w:r>
        <w:rPr>
          <w:sz w:val="24"/>
        </w:rPr>
        <w:t>Kabupaten</w:t>
      </w:r>
      <w:r>
        <w:rPr>
          <w:spacing w:val="80"/>
          <w:w w:val="150"/>
          <w:sz w:val="24"/>
        </w:rPr>
        <w:t> </w:t>
      </w:r>
      <w:r>
        <w:rPr>
          <w:sz w:val="24"/>
        </w:rPr>
        <w:t>Gowa</w:t>
      </w:r>
      <w:r>
        <w:rPr>
          <w:spacing w:val="80"/>
          <w:w w:val="150"/>
          <w:sz w:val="24"/>
        </w:rPr>
        <w:t> </w:t>
      </w:r>
      <w:r>
        <w:rPr>
          <w:sz w:val="24"/>
        </w:rPr>
        <w:t>mengalami</w:t>
      </w:r>
      <w:r>
        <w:rPr>
          <w:spacing w:val="80"/>
          <w:w w:val="150"/>
          <w:sz w:val="24"/>
        </w:rPr>
        <w:t> </w:t>
      </w:r>
      <w:r>
        <w:rPr>
          <w:sz w:val="24"/>
        </w:rPr>
        <w:t>tren peningkatan yang konsisten sepanjang tahun 2025.</w:t>
      </w:r>
    </w:p>
    <w:p>
      <w:pPr>
        <w:pStyle w:val="ListParagraph"/>
        <w:numPr>
          <w:ilvl w:val="1"/>
          <w:numId w:val="1"/>
        </w:numPr>
        <w:tabs>
          <w:tab w:pos="885" w:val="left" w:leader="none"/>
        </w:tabs>
        <w:spacing w:line="240" w:lineRule="auto" w:before="103" w:after="0"/>
        <w:ind w:left="885" w:right="0" w:hanging="360"/>
        <w:jc w:val="left"/>
        <w:rPr>
          <w:sz w:val="24"/>
        </w:rPr>
      </w:pPr>
      <w:r>
        <w:rPr>
          <w:sz w:val="24"/>
        </w:rPr>
        <w:t>Total</w:t>
      </w:r>
      <w:r>
        <w:rPr>
          <w:spacing w:val="62"/>
          <w:sz w:val="24"/>
        </w:rPr>
        <w:t> </w:t>
      </w:r>
      <w:r>
        <w:rPr>
          <w:sz w:val="24"/>
        </w:rPr>
        <w:t>peningkatan</w:t>
      </w:r>
      <w:r>
        <w:rPr>
          <w:spacing w:val="60"/>
          <w:sz w:val="24"/>
        </w:rPr>
        <w:t> </w:t>
      </w:r>
      <w:r>
        <w:rPr>
          <w:sz w:val="24"/>
        </w:rPr>
        <w:t>peserta</w:t>
      </w:r>
      <w:r>
        <w:rPr>
          <w:spacing w:val="62"/>
          <w:sz w:val="24"/>
        </w:rPr>
        <w:t> </w:t>
      </w:r>
      <w:r>
        <w:rPr>
          <w:sz w:val="24"/>
        </w:rPr>
        <w:t>dari</w:t>
      </w:r>
      <w:r>
        <w:rPr>
          <w:spacing w:val="62"/>
          <w:sz w:val="24"/>
        </w:rPr>
        <w:t> </w:t>
      </w:r>
      <w:r>
        <w:rPr>
          <w:sz w:val="24"/>
        </w:rPr>
        <w:t>Januari</w:t>
      </w:r>
      <w:r>
        <w:rPr>
          <w:spacing w:val="62"/>
          <w:sz w:val="24"/>
        </w:rPr>
        <w:t> </w:t>
      </w:r>
      <w:r>
        <w:rPr>
          <w:sz w:val="24"/>
        </w:rPr>
        <w:t>hingga</w:t>
      </w:r>
      <w:r>
        <w:rPr>
          <w:spacing w:val="60"/>
          <w:sz w:val="24"/>
        </w:rPr>
        <w:t> </w:t>
      </w:r>
      <w:r>
        <w:rPr>
          <w:sz w:val="24"/>
        </w:rPr>
        <w:t>Desember</w:t>
      </w:r>
      <w:r>
        <w:rPr>
          <w:spacing w:val="61"/>
          <w:sz w:val="24"/>
        </w:rPr>
        <w:t> </w:t>
      </w:r>
      <w:r>
        <w:rPr>
          <w:sz w:val="24"/>
        </w:rPr>
        <w:t>2025</w:t>
      </w:r>
      <w:r>
        <w:rPr>
          <w:spacing w:val="63"/>
          <w:sz w:val="24"/>
        </w:rPr>
        <w:t> </w:t>
      </w:r>
      <w:r>
        <w:rPr>
          <w:spacing w:val="-2"/>
          <w:sz w:val="24"/>
        </w:rPr>
        <w:t>mencapai</w:t>
      </w:r>
    </w:p>
    <w:p>
      <w:pPr>
        <w:pStyle w:val="BodyText"/>
        <w:spacing w:before="47"/>
        <w:ind w:left="885"/>
      </w:pPr>
      <w:r>
        <w:rPr/>
        <w:t>62.016</w:t>
      </w:r>
      <w:r>
        <w:rPr>
          <w:spacing w:val="-5"/>
        </w:rPr>
        <w:t> </w:t>
      </w:r>
      <w:r>
        <w:rPr/>
        <w:t>jiwa</w:t>
      </w:r>
      <w:r>
        <w:rPr>
          <w:spacing w:val="-6"/>
        </w:rPr>
        <w:t> </w:t>
      </w:r>
      <w:r>
        <w:rPr>
          <w:spacing w:val="-2"/>
        </w:rPr>
        <w:t>(58.2%).</w:t>
      </w:r>
    </w:p>
    <w:p>
      <w:pPr>
        <w:pStyle w:val="ListParagraph"/>
        <w:numPr>
          <w:ilvl w:val="1"/>
          <w:numId w:val="1"/>
        </w:numPr>
        <w:tabs>
          <w:tab w:pos="885" w:val="left" w:leader="none"/>
        </w:tabs>
        <w:spacing w:line="240" w:lineRule="auto" w:before="146" w:after="0"/>
        <w:ind w:left="885" w:right="0" w:hanging="360"/>
        <w:jc w:val="left"/>
        <w:rPr>
          <w:sz w:val="24"/>
        </w:rPr>
      </w:pPr>
      <w:r>
        <w:rPr>
          <w:sz w:val="24"/>
        </w:rPr>
        <w:t>Lonjakan</w:t>
      </w:r>
      <w:r>
        <w:rPr>
          <w:spacing w:val="5"/>
          <w:sz w:val="24"/>
        </w:rPr>
        <w:t> </w:t>
      </w:r>
      <w:r>
        <w:rPr>
          <w:sz w:val="24"/>
        </w:rPr>
        <w:t>tertinggi</w:t>
      </w:r>
      <w:r>
        <w:rPr>
          <w:spacing w:val="5"/>
          <w:sz w:val="24"/>
        </w:rPr>
        <w:t> </w:t>
      </w:r>
      <w:r>
        <w:rPr>
          <w:sz w:val="24"/>
        </w:rPr>
        <w:t>terjadi</w:t>
      </w:r>
      <w:r>
        <w:rPr>
          <w:spacing w:val="6"/>
          <w:sz w:val="24"/>
        </w:rPr>
        <w:t> </w:t>
      </w:r>
      <w:r>
        <w:rPr>
          <w:sz w:val="24"/>
        </w:rPr>
        <w:t>pada</w:t>
      </w:r>
      <w:r>
        <w:rPr>
          <w:spacing w:val="4"/>
          <w:sz w:val="24"/>
        </w:rPr>
        <w:t> </w:t>
      </w:r>
      <w:r>
        <w:rPr>
          <w:sz w:val="24"/>
        </w:rPr>
        <w:t>periode</w:t>
      </w:r>
      <w:r>
        <w:rPr>
          <w:spacing w:val="4"/>
          <w:sz w:val="24"/>
        </w:rPr>
        <w:t> </w:t>
      </w:r>
      <w:r>
        <w:rPr>
          <w:sz w:val="24"/>
        </w:rPr>
        <w:t>Mei–Juni</w:t>
      </w:r>
      <w:r>
        <w:rPr>
          <w:spacing w:val="6"/>
          <w:sz w:val="24"/>
        </w:rPr>
        <w:t> </w:t>
      </w:r>
      <w:r>
        <w:rPr>
          <w:spacing w:val="-2"/>
          <w:sz w:val="24"/>
        </w:rPr>
        <w:t>2025.</w:t>
      </w:r>
    </w:p>
    <w:p>
      <w:pPr>
        <w:pStyle w:val="ListParagraph"/>
        <w:numPr>
          <w:ilvl w:val="1"/>
          <w:numId w:val="1"/>
        </w:numPr>
        <w:tabs>
          <w:tab w:pos="885" w:val="left" w:leader="none"/>
        </w:tabs>
        <w:spacing w:line="280" w:lineRule="auto" w:before="144" w:after="0"/>
        <w:ind w:left="885" w:right="591" w:hanging="360"/>
        <w:jc w:val="left"/>
        <w:rPr>
          <w:sz w:val="24"/>
        </w:rPr>
      </w:pPr>
      <w:r>
        <w:rPr>
          <w:sz w:val="24"/>
        </w:rPr>
        <w:t>Jumlah</w:t>
      </w:r>
      <w:r>
        <w:rPr>
          <w:spacing w:val="-2"/>
          <w:sz w:val="24"/>
        </w:rPr>
        <w:t> </w:t>
      </w:r>
      <w:r>
        <w:rPr>
          <w:sz w:val="24"/>
        </w:rPr>
        <w:t>peserta</w:t>
      </w:r>
      <w:r>
        <w:rPr>
          <w:spacing w:val="-3"/>
          <w:sz w:val="24"/>
        </w:rPr>
        <w:t> </w:t>
      </w:r>
      <w:r>
        <w:rPr>
          <w:sz w:val="24"/>
        </w:rPr>
        <w:t>tertinggi</w:t>
      </w:r>
      <w:r>
        <w:rPr>
          <w:spacing w:val="-2"/>
          <w:sz w:val="24"/>
        </w:rPr>
        <w:t> </w:t>
      </w:r>
      <w:r>
        <w:rPr>
          <w:sz w:val="24"/>
        </w:rPr>
        <w:t>tercatat</w:t>
      </w:r>
      <w:r>
        <w:rPr>
          <w:spacing w:val="-3"/>
          <w:sz w:val="24"/>
        </w:rPr>
        <w:t> </w:t>
      </w:r>
      <w:r>
        <w:rPr>
          <w:sz w:val="24"/>
        </w:rPr>
        <w:t>pada</w:t>
      </w:r>
      <w:r>
        <w:rPr>
          <w:spacing w:val="-4"/>
          <w:sz w:val="24"/>
        </w:rPr>
        <w:t> </w:t>
      </w:r>
      <w:r>
        <w:rPr>
          <w:sz w:val="24"/>
        </w:rPr>
        <w:t>bulan</w:t>
      </w:r>
      <w:r>
        <w:rPr>
          <w:spacing w:val="-4"/>
          <w:sz w:val="24"/>
        </w:rPr>
        <w:t> </w:t>
      </w:r>
      <w:r>
        <w:rPr>
          <w:sz w:val="24"/>
        </w:rPr>
        <w:t>Desember</w:t>
      </w:r>
      <w:r>
        <w:rPr>
          <w:spacing w:val="-3"/>
          <w:sz w:val="24"/>
        </w:rPr>
        <w:t> </w:t>
      </w:r>
      <w:r>
        <w:rPr>
          <w:sz w:val="24"/>
        </w:rPr>
        <w:t>2025</w:t>
      </w:r>
      <w:r>
        <w:rPr>
          <w:spacing w:val="-3"/>
          <w:sz w:val="24"/>
        </w:rPr>
        <w:t> </w:t>
      </w:r>
      <w:r>
        <w:rPr>
          <w:sz w:val="24"/>
        </w:rPr>
        <w:t>sebesar</w:t>
      </w:r>
      <w:r>
        <w:rPr>
          <w:spacing w:val="-3"/>
          <w:sz w:val="24"/>
        </w:rPr>
        <w:t> </w:t>
      </w:r>
      <w:r>
        <w:rPr>
          <w:sz w:val="24"/>
        </w:rPr>
        <w:t>168.581 </w:t>
      </w:r>
      <w:r>
        <w:rPr>
          <w:spacing w:val="-2"/>
          <w:sz w:val="24"/>
        </w:rPr>
        <w:t>jiwa.</w:t>
      </w:r>
    </w:p>
    <w:p>
      <w:pPr>
        <w:pStyle w:val="BodyText"/>
        <w:spacing w:before="26"/>
      </w:pPr>
    </w:p>
    <w:p>
      <w:pPr>
        <w:pStyle w:val="ListParagraph"/>
        <w:numPr>
          <w:ilvl w:val="0"/>
          <w:numId w:val="1"/>
        </w:numPr>
        <w:tabs>
          <w:tab w:pos="588" w:val="left" w:leader="none"/>
        </w:tabs>
        <w:spacing w:line="240" w:lineRule="auto" w:before="0" w:after="0"/>
        <w:ind w:left="588" w:right="0" w:hanging="423"/>
        <w:jc w:val="left"/>
        <w:rPr>
          <w:rFonts w:ascii="Arial"/>
          <w:b/>
          <w:color w:val="1F3863"/>
          <w:sz w:val="24"/>
        </w:rPr>
      </w:pPr>
      <w:r>
        <w:rPr>
          <w:rFonts w:ascii="Arial"/>
          <w:b/>
          <w:color w:val="1F3863"/>
          <w:spacing w:val="-2"/>
          <w:sz w:val="24"/>
        </w:rPr>
        <w:t>Rekomendasi</w:t>
      </w:r>
    </w:p>
    <w:p>
      <w:pPr>
        <w:pStyle w:val="ListParagraph"/>
        <w:numPr>
          <w:ilvl w:val="1"/>
          <w:numId w:val="1"/>
        </w:numPr>
        <w:tabs>
          <w:tab w:pos="885" w:val="left" w:leader="none"/>
        </w:tabs>
        <w:spacing w:line="280" w:lineRule="auto" w:before="194" w:after="0"/>
        <w:ind w:left="885" w:right="591" w:hanging="360"/>
        <w:jc w:val="both"/>
        <w:rPr>
          <w:sz w:val="24"/>
        </w:rPr>
      </w:pPr>
      <w:r>
        <w:rPr>
          <w:sz w:val="24"/>
        </w:rPr>
        <w:t>Perlu dilakukan evaluasi lebih lanjut terhadap faktor pendorong lonjakan kepesertaan pada periode Mei–Juni 2025 sebagai bahan pembelajaran untuk strategi peningkatan kepesertaan di tahun berikutnya.</w:t>
      </w:r>
    </w:p>
    <w:p>
      <w:pPr>
        <w:pStyle w:val="ListParagraph"/>
        <w:numPr>
          <w:ilvl w:val="1"/>
          <w:numId w:val="1"/>
        </w:numPr>
        <w:tabs>
          <w:tab w:pos="885" w:val="left" w:leader="none"/>
        </w:tabs>
        <w:spacing w:line="280" w:lineRule="auto" w:before="98" w:after="0"/>
        <w:ind w:left="885" w:right="591" w:hanging="360"/>
        <w:jc w:val="both"/>
        <w:rPr>
          <w:sz w:val="24"/>
        </w:rPr>
      </w:pPr>
      <w:r>
        <w:rPr>
          <w:sz w:val="24"/>
        </w:rPr>
        <w:t>Perlu adanya monitoring anggaran daerah secara berkala guna memastikan keberlanjutan pembiayaan iuran PBPU Pemda seiring dengan pertumbuhan jumlah peserta.</w:t>
      </w:r>
    </w:p>
    <w:p>
      <w:pPr>
        <w:pStyle w:val="ListParagraph"/>
        <w:numPr>
          <w:ilvl w:val="1"/>
          <w:numId w:val="1"/>
        </w:numPr>
        <w:tabs>
          <w:tab w:pos="885" w:val="left" w:leader="none"/>
        </w:tabs>
        <w:spacing w:line="280" w:lineRule="auto" w:before="99" w:after="0"/>
        <w:ind w:left="885" w:right="589" w:hanging="360"/>
        <w:jc w:val="both"/>
        <w:rPr>
          <w:sz w:val="24"/>
        </w:rPr>
      </w:pPr>
      <w:r>
        <w:rPr>
          <w:sz w:val="24"/>
        </w:rPr>
        <mc:AlternateContent>
          <mc:Choice Requires="wps">
            <w:drawing>
              <wp:anchor distT="0" distB="0" distL="0" distR="0" allowOverlap="1" layoutInCell="1" locked="0" behindDoc="0" simplePos="0" relativeHeight="15730176">
                <wp:simplePos x="0" y="0"/>
                <wp:positionH relativeFrom="page">
                  <wp:posOffset>4053840</wp:posOffset>
                </wp:positionH>
                <wp:positionV relativeFrom="paragraph">
                  <wp:posOffset>624477</wp:posOffset>
                </wp:positionV>
                <wp:extent cx="2362200" cy="213741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2362200" cy="2137410"/>
                          <a:chExt cx="2362200" cy="2137410"/>
                        </a:xfrm>
                      </wpg:grpSpPr>
                      <pic:pic>
                        <pic:nvPicPr>
                          <pic:cNvPr id="6" name="Image 6"/>
                          <pic:cNvPicPr/>
                        </pic:nvPicPr>
                        <pic:blipFill>
                          <a:blip r:embed="rId7" cstate="print"/>
                          <a:stretch>
                            <a:fillRect/>
                          </a:stretch>
                        </pic:blipFill>
                        <pic:spPr>
                          <a:xfrm>
                            <a:off x="0" y="0"/>
                            <a:ext cx="1121410" cy="1982470"/>
                          </a:xfrm>
                          <a:prstGeom prst="rect">
                            <a:avLst/>
                          </a:prstGeom>
                        </pic:spPr>
                      </pic:pic>
                      <pic:pic>
                        <pic:nvPicPr>
                          <pic:cNvPr id="7" name="Image 7" descr="Text  Description automatically generated"/>
                          <pic:cNvPicPr/>
                        </pic:nvPicPr>
                        <pic:blipFill>
                          <a:blip r:embed="rId8" cstate="print"/>
                          <a:stretch>
                            <a:fillRect/>
                          </a:stretch>
                        </pic:blipFill>
                        <pic:spPr>
                          <a:xfrm>
                            <a:off x="204470" y="941069"/>
                            <a:ext cx="2157730" cy="1196339"/>
                          </a:xfrm>
                          <a:prstGeom prst="rect">
                            <a:avLst/>
                          </a:prstGeom>
                        </pic:spPr>
                      </pic:pic>
                    </wpg:wgp>
                  </a:graphicData>
                </a:graphic>
              </wp:anchor>
            </w:drawing>
          </mc:Choice>
          <mc:Fallback>
            <w:pict>
              <v:group style="position:absolute;margin-left:319.200012pt;margin-top:49.171486pt;width:186pt;height:168.3pt;mso-position-horizontal-relative:page;mso-position-vertical-relative:paragraph;z-index:15730176" id="docshapegroup4" coordorigin="6384,983" coordsize="3720,3366">
                <v:shape style="position:absolute;left:6384;top:983;width:1766;height:3122" type="#_x0000_t75" id="docshape5" stroked="false">
                  <v:imagedata r:id="rId7" o:title=""/>
                </v:shape>
                <v:shape style="position:absolute;left:6706;top:2465;width:3398;height:1884" type="#_x0000_t75" id="docshape6" alt="Text  Description automatically generated" stroked="false">
                  <v:imagedata r:id="rId8" o:title=""/>
                </v:shape>
                <w10:wrap type="none"/>
              </v:group>
            </w:pict>
          </mc:Fallback>
        </mc:AlternateContent>
      </w:r>
      <w:r>
        <w:rPr>
          <w:sz w:val="24"/>
        </w:rPr>
        <w:t>Perlu dilakukan sosialisasi lanjutan kepada masyarakat yang belum terdaftar agar cakupan kepesertaan JKN semakin merata.</w:t>
      </w:r>
    </w:p>
    <w:p>
      <w:pPr>
        <w:pStyle w:val="BodyText"/>
        <w:rPr>
          <w:sz w:val="20"/>
        </w:rPr>
      </w:pPr>
    </w:p>
    <w:p>
      <w:pPr>
        <w:pStyle w:val="BodyText"/>
        <w:rPr>
          <w:sz w:val="20"/>
        </w:rPr>
      </w:pPr>
    </w:p>
    <w:p>
      <w:pPr>
        <w:pStyle w:val="BodyText"/>
        <w:rPr>
          <w:sz w:val="20"/>
        </w:rPr>
      </w:pPr>
    </w:p>
    <w:p>
      <w:pPr>
        <w:pStyle w:val="BodyText"/>
        <w:spacing w:before="193"/>
        <w:rPr>
          <w:sz w:val="20"/>
        </w:rPr>
      </w:pPr>
      <w:r>
        <w:rPr>
          <w:sz w:val="20"/>
        </w:rPr>
        <mc:AlternateContent>
          <mc:Choice Requires="wps">
            <w:drawing>
              <wp:anchor distT="0" distB="0" distL="0" distR="0" allowOverlap="1" layoutInCell="1" locked="0" behindDoc="1" simplePos="0" relativeHeight="487588864">
                <wp:simplePos x="0" y="0"/>
                <wp:positionH relativeFrom="page">
                  <wp:posOffset>4572634</wp:posOffset>
                </wp:positionH>
                <wp:positionV relativeFrom="paragraph">
                  <wp:posOffset>281640</wp:posOffset>
                </wp:positionV>
                <wp:extent cx="2023745" cy="1530985"/>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2023745" cy="1530985"/>
                          <a:chExt cx="2023745" cy="1530985"/>
                        </a:xfrm>
                      </wpg:grpSpPr>
                      <wps:wsp>
                        <wps:cNvPr id="9" name="Textbox 9"/>
                        <wps:cNvSpPr txBox="1"/>
                        <wps:spPr>
                          <a:xfrm>
                            <a:off x="0" y="0"/>
                            <a:ext cx="2023745" cy="653415"/>
                          </a:xfrm>
                          <a:prstGeom prst="rect">
                            <a:avLst/>
                          </a:prstGeom>
                        </wps:spPr>
                        <wps:txbx>
                          <w:txbxContent>
                            <w:p>
                              <w:pPr>
                                <w:spacing w:line="245" w:lineRule="exact" w:before="0"/>
                                <w:ind w:left="0" w:right="0" w:firstLine="0"/>
                                <w:jc w:val="left"/>
                                <w:rPr>
                                  <w:sz w:val="22"/>
                                </w:rPr>
                              </w:pPr>
                              <w:r>
                                <w:rPr>
                                  <w:sz w:val="22"/>
                                </w:rPr>
                                <w:t>Sungguminasa,</w:t>
                              </w:r>
                              <w:r>
                                <w:rPr>
                                  <w:spacing w:val="-4"/>
                                  <w:sz w:val="22"/>
                                </w:rPr>
                                <w:t> </w:t>
                              </w:r>
                              <w:r>
                                <w:rPr>
                                  <w:sz w:val="22"/>
                                </w:rPr>
                                <w:t>15</w:t>
                              </w:r>
                              <w:r>
                                <w:rPr>
                                  <w:spacing w:val="-6"/>
                                  <w:sz w:val="22"/>
                                </w:rPr>
                                <w:t> </w:t>
                              </w:r>
                              <w:r>
                                <w:rPr>
                                  <w:sz w:val="22"/>
                                </w:rPr>
                                <w:t>Januari</w:t>
                              </w:r>
                              <w:r>
                                <w:rPr>
                                  <w:spacing w:val="-4"/>
                                  <w:sz w:val="22"/>
                                </w:rPr>
                                <w:t> 2025</w:t>
                              </w:r>
                            </w:p>
                            <w:p>
                              <w:pPr>
                                <w:spacing w:line="290" w:lineRule="atLeast" w:before="203"/>
                                <w:ind w:left="0" w:right="10" w:firstLine="0"/>
                                <w:jc w:val="left"/>
                                <w:rPr>
                                  <w:rFonts w:ascii="Arial"/>
                                  <w:b/>
                                  <w:sz w:val="22"/>
                                </w:rPr>
                              </w:pPr>
                              <w:r>
                                <w:rPr>
                                  <w:rFonts w:ascii="Arial"/>
                                  <w:b/>
                                  <w:sz w:val="22"/>
                                </w:rPr>
                                <w:t>Kepala</w:t>
                              </w:r>
                              <w:r>
                                <w:rPr>
                                  <w:rFonts w:ascii="Arial"/>
                                  <w:b/>
                                  <w:spacing w:val="-16"/>
                                  <w:sz w:val="22"/>
                                </w:rPr>
                                <w:t> </w:t>
                              </w:r>
                              <w:r>
                                <w:rPr>
                                  <w:rFonts w:ascii="Arial"/>
                                  <w:b/>
                                  <w:sz w:val="22"/>
                                </w:rPr>
                                <w:t>Dinas</w:t>
                              </w:r>
                              <w:r>
                                <w:rPr>
                                  <w:rFonts w:ascii="Arial"/>
                                  <w:b/>
                                  <w:spacing w:val="-15"/>
                                  <w:sz w:val="22"/>
                                </w:rPr>
                                <w:t> </w:t>
                              </w:r>
                              <w:r>
                                <w:rPr>
                                  <w:rFonts w:ascii="Arial"/>
                                  <w:b/>
                                  <w:sz w:val="22"/>
                                </w:rPr>
                                <w:t>Sosial Kabupaten Gowa</w:t>
                              </w:r>
                            </w:p>
                          </w:txbxContent>
                        </wps:txbx>
                        <wps:bodyPr wrap="square" lIns="0" tIns="0" rIns="0" bIns="0" rtlCol="0">
                          <a:noAutofit/>
                        </wps:bodyPr>
                      </wps:wsp>
                      <wps:wsp>
                        <wps:cNvPr id="10" name="Textbox 10"/>
                        <wps:cNvSpPr txBox="1"/>
                        <wps:spPr>
                          <a:xfrm>
                            <a:off x="0" y="1190244"/>
                            <a:ext cx="1861185" cy="340360"/>
                          </a:xfrm>
                          <a:prstGeom prst="rect">
                            <a:avLst/>
                          </a:prstGeom>
                        </wps:spPr>
                        <wps:txbx>
                          <w:txbxContent>
                            <w:p>
                              <w:pPr>
                                <w:spacing w:line="246" w:lineRule="exact" w:before="0"/>
                                <w:ind w:left="0" w:right="0" w:firstLine="0"/>
                                <w:jc w:val="left"/>
                                <w:rPr>
                                  <w:rFonts w:ascii="Arial"/>
                                  <w:b/>
                                  <w:sz w:val="22"/>
                                </w:rPr>
                              </w:pPr>
                              <w:r>
                                <w:rPr>
                                  <w:rFonts w:ascii="Arial"/>
                                  <w:b/>
                                  <w:sz w:val="22"/>
                                  <w:u w:val="single"/>
                                </w:rPr>
                                <w:t>Drs.</w:t>
                              </w:r>
                              <w:r>
                                <w:rPr>
                                  <w:rFonts w:ascii="Arial"/>
                                  <w:b/>
                                  <w:spacing w:val="-2"/>
                                  <w:sz w:val="22"/>
                                  <w:u w:val="single"/>
                                </w:rPr>
                                <w:t> </w:t>
                              </w:r>
                              <w:r>
                                <w:rPr>
                                  <w:rFonts w:ascii="Arial"/>
                                  <w:b/>
                                  <w:sz w:val="22"/>
                                  <w:u w:val="single"/>
                                </w:rPr>
                                <w:t>H.</w:t>
                              </w:r>
                              <w:r>
                                <w:rPr>
                                  <w:rFonts w:ascii="Arial"/>
                                  <w:b/>
                                  <w:spacing w:val="-2"/>
                                  <w:sz w:val="22"/>
                                  <w:u w:val="single"/>
                                </w:rPr>
                                <w:t> </w:t>
                              </w:r>
                              <w:r>
                                <w:rPr>
                                  <w:rFonts w:ascii="Arial"/>
                                  <w:b/>
                                  <w:sz w:val="22"/>
                                  <w:u w:val="single"/>
                                </w:rPr>
                                <w:t>Firdaus,</w:t>
                              </w:r>
                              <w:r>
                                <w:rPr>
                                  <w:rFonts w:ascii="Arial"/>
                                  <w:b/>
                                  <w:spacing w:val="-2"/>
                                  <w:sz w:val="22"/>
                                  <w:u w:val="single"/>
                                </w:rPr>
                                <w:t> </w:t>
                              </w:r>
                              <w:r>
                                <w:rPr>
                                  <w:rFonts w:ascii="Arial"/>
                                  <w:b/>
                                  <w:sz w:val="22"/>
                                  <w:u w:val="single"/>
                                </w:rPr>
                                <w:t>S.Ag,</w:t>
                              </w:r>
                              <w:r>
                                <w:rPr>
                                  <w:rFonts w:ascii="Arial"/>
                                  <w:b/>
                                  <w:spacing w:val="-2"/>
                                  <w:sz w:val="22"/>
                                  <w:u w:val="single"/>
                                </w:rPr>
                                <w:t> </w:t>
                              </w:r>
                              <w:r>
                                <w:rPr>
                                  <w:rFonts w:ascii="Arial"/>
                                  <w:b/>
                                  <w:spacing w:val="-4"/>
                                  <w:sz w:val="22"/>
                                  <w:u w:val="single"/>
                                </w:rPr>
                                <w:t>M.Si</w:t>
                              </w:r>
                            </w:p>
                            <w:p>
                              <w:pPr>
                                <w:spacing w:before="40"/>
                                <w:ind w:left="37" w:right="0" w:firstLine="0"/>
                                <w:jc w:val="left"/>
                                <w:rPr>
                                  <w:sz w:val="22"/>
                                </w:rPr>
                              </w:pPr>
                              <w:r>
                                <w:rPr>
                                  <w:sz w:val="22"/>
                                </w:rPr>
                                <w:t>NIP.</w:t>
                              </w:r>
                              <w:r>
                                <w:rPr>
                                  <w:spacing w:val="-4"/>
                                  <w:sz w:val="22"/>
                                </w:rPr>
                                <w:t> </w:t>
                              </w:r>
                              <w:r>
                                <w:rPr>
                                  <w:sz w:val="22"/>
                                </w:rPr>
                                <w:t>19710628</w:t>
                              </w:r>
                              <w:r>
                                <w:rPr>
                                  <w:spacing w:val="-4"/>
                                  <w:sz w:val="22"/>
                                </w:rPr>
                                <w:t> </w:t>
                              </w:r>
                              <w:r>
                                <w:rPr>
                                  <w:sz w:val="22"/>
                                </w:rPr>
                                <w:t>199303</w:t>
                              </w:r>
                              <w:r>
                                <w:rPr>
                                  <w:spacing w:val="-4"/>
                                  <w:sz w:val="22"/>
                                </w:rPr>
                                <w:t> </w:t>
                              </w:r>
                              <w:r>
                                <w:rPr>
                                  <w:sz w:val="22"/>
                                </w:rPr>
                                <w:t>1</w:t>
                              </w:r>
                              <w:r>
                                <w:rPr>
                                  <w:spacing w:val="-3"/>
                                  <w:sz w:val="22"/>
                                </w:rPr>
                                <w:t> </w:t>
                              </w:r>
                              <w:r>
                                <w:rPr>
                                  <w:spacing w:val="-5"/>
                                  <w:sz w:val="22"/>
                                </w:rPr>
                                <w:t>012</w:t>
                              </w:r>
                            </w:p>
                          </w:txbxContent>
                        </wps:txbx>
                        <wps:bodyPr wrap="square" lIns="0" tIns="0" rIns="0" bIns="0" rtlCol="0">
                          <a:noAutofit/>
                        </wps:bodyPr>
                      </wps:wsp>
                    </wpg:wgp>
                  </a:graphicData>
                </a:graphic>
              </wp:anchor>
            </w:drawing>
          </mc:Choice>
          <mc:Fallback>
            <w:pict>
              <v:group style="position:absolute;margin-left:360.049988pt;margin-top:22.176445pt;width:159.35pt;height:120.55pt;mso-position-horizontal-relative:page;mso-position-vertical-relative:paragraph;z-index:-15727616;mso-wrap-distance-left:0;mso-wrap-distance-right:0" id="docshapegroup7" coordorigin="7201,444" coordsize="3187,2411">
                <v:shape style="position:absolute;left:7201;top:443;width:3187;height:1029" type="#_x0000_t202" id="docshape8" filled="false" stroked="false">
                  <v:textbox inset="0,0,0,0">
                    <w:txbxContent>
                      <w:p>
                        <w:pPr>
                          <w:spacing w:line="245" w:lineRule="exact" w:before="0"/>
                          <w:ind w:left="0" w:right="0" w:firstLine="0"/>
                          <w:jc w:val="left"/>
                          <w:rPr>
                            <w:sz w:val="22"/>
                          </w:rPr>
                        </w:pPr>
                        <w:r>
                          <w:rPr>
                            <w:sz w:val="22"/>
                          </w:rPr>
                          <w:t>Sungguminasa,</w:t>
                        </w:r>
                        <w:r>
                          <w:rPr>
                            <w:spacing w:val="-4"/>
                            <w:sz w:val="22"/>
                          </w:rPr>
                          <w:t> </w:t>
                        </w:r>
                        <w:r>
                          <w:rPr>
                            <w:sz w:val="22"/>
                          </w:rPr>
                          <w:t>15</w:t>
                        </w:r>
                        <w:r>
                          <w:rPr>
                            <w:spacing w:val="-6"/>
                            <w:sz w:val="22"/>
                          </w:rPr>
                          <w:t> </w:t>
                        </w:r>
                        <w:r>
                          <w:rPr>
                            <w:sz w:val="22"/>
                          </w:rPr>
                          <w:t>Januari</w:t>
                        </w:r>
                        <w:r>
                          <w:rPr>
                            <w:spacing w:val="-4"/>
                            <w:sz w:val="22"/>
                          </w:rPr>
                          <w:t> 2025</w:t>
                        </w:r>
                      </w:p>
                      <w:p>
                        <w:pPr>
                          <w:spacing w:line="290" w:lineRule="atLeast" w:before="203"/>
                          <w:ind w:left="0" w:right="10" w:firstLine="0"/>
                          <w:jc w:val="left"/>
                          <w:rPr>
                            <w:rFonts w:ascii="Arial"/>
                            <w:b/>
                            <w:sz w:val="22"/>
                          </w:rPr>
                        </w:pPr>
                        <w:r>
                          <w:rPr>
                            <w:rFonts w:ascii="Arial"/>
                            <w:b/>
                            <w:sz w:val="22"/>
                          </w:rPr>
                          <w:t>Kepala</w:t>
                        </w:r>
                        <w:r>
                          <w:rPr>
                            <w:rFonts w:ascii="Arial"/>
                            <w:b/>
                            <w:spacing w:val="-16"/>
                            <w:sz w:val="22"/>
                          </w:rPr>
                          <w:t> </w:t>
                        </w:r>
                        <w:r>
                          <w:rPr>
                            <w:rFonts w:ascii="Arial"/>
                            <w:b/>
                            <w:sz w:val="22"/>
                          </w:rPr>
                          <w:t>Dinas</w:t>
                        </w:r>
                        <w:r>
                          <w:rPr>
                            <w:rFonts w:ascii="Arial"/>
                            <w:b/>
                            <w:spacing w:val="-15"/>
                            <w:sz w:val="22"/>
                          </w:rPr>
                          <w:t> </w:t>
                        </w:r>
                        <w:r>
                          <w:rPr>
                            <w:rFonts w:ascii="Arial"/>
                            <w:b/>
                            <w:sz w:val="22"/>
                          </w:rPr>
                          <w:t>Sosial Kabupaten Gowa</w:t>
                        </w:r>
                      </w:p>
                    </w:txbxContent>
                  </v:textbox>
                  <w10:wrap type="none"/>
                </v:shape>
                <v:shape style="position:absolute;left:7201;top:2317;width:2931;height:536" type="#_x0000_t202" id="docshape9" filled="false" stroked="false">
                  <v:textbox inset="0,0,0,0">
                    <w:txbxContent>
                      <w:p>
                        <w:pPr>
                          <w:spacing w:line="246" w:lineRule="exact" w:before="0"/>
                          <w:ind w:left="0" w:right="0" w:firstLine="0"/>
                          <w:jc w:val="left"/>
                          <w:rPr>
                            <w:rFonts w:ascii="Arial"/>
                            <w:b/>
                            <w:sz w:val="22"/>
                          </w:rPr>
                        </w:pPr>
                        <w:r>
                          <w:rPr>
                            <w:rFonts w:ascii="Arial"/>
                            <w:b/>
                            <w:sz w:val="22"/>
                            <w:u w:val="single"/>
                          </w:rPr>
                          <w:t>Drs.</w:t>
                        </w:r>
                        <w:r>
                          <w:rPr>
                            <w:rFonts w:ascii="Arial"/>
                            <w:b/>
                            <w:spacing w:val="-2"/>
                            <w:sz w:val="22"/>
                            <w:u w:val="single"/>
                          </w:rPr>
                          <w:t> </w:t>
                        </w:r>
                        <w:r>
                          <w:rPr>
                            <w:rFonts w:ascii="Arial"/>
                            <w:b/>
                            <w:sz w:val="22"/>
                            <w:u w:val="single"/>
                          </w:rPr>
                          <w:t>H.</w:t>
                        </w:r>
                        <w:r>
                          <w:rPr>
                            <w:rFonts w:ascii="Arial"/>
                            <w:b/>
                            <w:spacing w:val="-2"/>
                            <w:sz w:val="22"/>
                            <w:u w:val="single"/>
                          </w:rPr>
                          <w:t> </w:t>
                        </w:r>
                        <w:r>
                          <w:rPr>
                            <w:rFonts w:ascii="Arial"/>
                            <w:b/>
                            <w:sz w:val="22"/>
                            <w:u w:val="single"/>
                          </w:rPr>
                          <w:t>Firdaus,</w:t>
                        </w:r>
                        <w:r>
                          <w:rPr>
                            <w:rFonts w:ascii="Arial"/>
                            <w:b/>
                            <w:spacing w:val="-2"/>
                            <w:sz w:val="22"/>
                            <w:u w:val="single"/>
                          </w:rPr>
                          <w:t> </w:t>
                        </w:r>
                        <w:r>
                          <w:rPr>
                            <w:rFonts w:ascii="Arial"/>
                            <w:b/>
                            <w:sz w:val="22"/>
                            <w:u w:val="single"/>
                          </w:rPr>
                          <w:t>S.Ag,</w:t>
                        </w:r>
                        <w:r>
                          <w:rPr>
                            <w:rFonts w:ascii="Arial"/>
                            <w:b/>
                            <w:spacing w:val="-2"/>
                            <w:sz w:val="22"/>
                            <w:u w:val="single"/>
                          </w:rPr>
                          <w:t> </w:t>
                        </w:r>
                        <w:r>
                          <w:rPr>
                            <w:rFonts w:ascii="Arial"/>
                            <w:b/>
                            <w:spacing w:val="-4"/>
                            <w:sz w:val="22"/>
                            <w:u w:val="single"/>
                          </w:rPr>
                          <w:t>M.Si</w:t>
                        </w:r>
                      </w:p>
                      <w:p>
                        <w:pPr>
                          <w:spacing w:before="40"/>
                          <w:ind w:left="37" w:right="0" w:firstLine="0"/>
                          <w:jc w:val="left"/>
                          <w:rPr>
                            <w:sz w:val="22"/>
                          </w:rPr>
                        </w:pPr>
                        <w:r>
                          <w:rPr>
                            <w:sz w:val="22"/>
                          </w:rPr>
                          <w:t>NIP.</w:t>
                        </w:r>
                        <w:r>
                          <w:rPr>
                            <w:spacing w:val="-4"/>
                            <w:sz w:val="22"/>
                          </w:rPr>
                          <w:t> </w:t>
                        </w:r>
                        <w:r>
                          <w:rPr>
                            <w:sz w:val="22"/>
                          </w:rPr>
                          <w:t>19710628</w:t>
                        </w:r>
                        <w:r>
                          <w:rPr>
                            <w:spacing w:val="-4"/>
                            <w:sz w:val="22"/>
                          </w:rPr>
                          <w:t> </w:t>
                        </w:r>
                        <w:r>
                          <w:rPr>
                            <w:sz w:val="22"/>
                          </w:rPr>
                          <w:t>199303</w:t>
                        </w:r>
                        <w:r>
                          <w:rPr>
                            <w:spacing w:val="-4"/>
                            <w:sz w:val="22"/>
                          </w:rPr>
                          <w:t> </w:t>
                        </w:r>
                        <w:r>
                          <w:rPr>
                            <w:sz w:val="22"/>
                          </w:rPr>
                          <w:t>1</w:t>
                        </w:r>
                        <w:r>
                          <w:rPr>
                            <w:spacing w:val="-3"/>
                            <w:sz w:val="22"/>
                          </w:rPr>
                          <w:t> </w:t>
                        </w:r>
                        <w:r>
                          <w:rPr>
                            <w:spacing w:val="-5"/>
                            <w:sz w:val="22"/>
                          </w:rPr>
                          <w:t>012</w:t>
                        </w:r>
                      </w:p>
                    </w:txbxContent>
                  </v:textbox>
                  <w10:wrap type="none"/>
                </v:shape>
                <w10:wrap type="topAndBottom"/>
              </v:group>
            </w:pict>
          </mc:Fallback>
        </mc:AlternateContent>
      </w:r>
    </w:p>
    <w:sectPr>
      <w:pgSz w:w="11910" w:h="16840"/>
      <w:pgMar w:header="718" w:footer="0" w:top="1340" w:bottom="280" w:left="1275"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Microsoft Sans Serif">
    <w:altName w:val="Microsoft Sans Serif"/>
    <w:charset w:val="1"/>
    <w:family w:val="swiss"/>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52672">
              <wp:simplePos x="0" y="0"/>
              <wp:positionH relativeFrom="page">
                <wp:posOffset>895350</wp:posOffset>
              </wp:positionH>
              <wp:positionV relativeFrom="page">
                <wp:posOffset>574040</wp:posOffset>
              </wp:positionV>
              <wp:extent cx="5770880" cy="889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770880" cy="8890"/>
                      </a:xfrm>
                      <a:custGeom>
                        <a:avLst/>
                        <a:gdLst/>
                        <a:ahLst/>
                        <a:cxnLst/>
                        <a:rect l="l" t="t" r="r" b="b"/>
                        <a:pathLst>
                          <a:path w="5770880" h="8890">
                            <a:moveTo>
                              <a:pt x="5770626" y="0"/>
                            </a:moveTo>
                            <a:lnTo>
                              <a:pt x="0" y="0"/>
                            </a:lnTo>
                            <a:lnTo>
                              <a:pt x="0" y="8890"/>
                            </a:lnTo>
                            <a:lnTo>
                              <a:pt x="5770626" y="8890"/>
                            </a:lnTo>
                            <a:lnTo>
                              <a:pt x="5770626"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rect style="position:absolute;margin-left:70.5pt;margin-top:45.200024pt;width:454.38pt;height:.7pt;mso-position-horizontal-relative:page;mso-position-vertical-relative:page;z-index:-15863808" id="docshape1" filled="true" fillcolor="#1f3863" stroked="false">
              <v:fill type="solid"/>
              <w10:wrap type="none"/>
            </v:rect>
          </w:pict>
        </mc:Fallback>
      </mc:AlternateContent>
    </w:r>
    <w:r>
      <w:rPr>
        <w:sz w:val="20"/>
      </w:rPr>
      <mc:AlternateContent>
        <mc:Choice Requires="wps">
          <w:drawing>
            <wp:anchor distT="0" distB="0" distL="0" distR="0" allowOverlap="1" layoutInCell="1" locked="0" behindDoc="1" simplePos="0" relativeHeight="487453184">
              <wp:simplePos x="0" y="0"/>
              <wp:positionH relativeFrom="page">
                <wp:posOffset>4744084</wp:posOffset>
              </wp:positionH>
              <wp:positionV relativeFrom="page">
                <wp:posOffset>458470</wp:posOffset>
              </wp:positionV>
              <wp:extent cx="1913255" cy="1270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913255" cy="127000"/>
                      </a:xfrm>
                      <a:prstGeom prst="rect">
                        <a:avLst/>
                      </a:prstGeom>
                    </wps:spPr>
                    <wps:txbx>
                      <w:txbxContent>
                        <w:p>
                          <w:pPr>
                            <w:spacing w:line="183" w:lineRule="exact" w:before="0"/>
                            <w:ind w:left="20" w:right="0" w:firstLine="0"/>
                            <w:jc w:val="left"/>
                            <w:rPr>
                              <w:rFonts w:ascii="Calibri"/>
                              <w:i/>
                              <w:sz w:val="16"/>
                            </w:rPr>
                          </w:pPr>
                          <w:r>
                            <w:rPr>
                              <w:rFonts w:ascii="Calibri"/>
                              <w:i/>
                              <w:color w:val="585858"/>
                              <w:sz w:val="16"/>
                            </w:rPr>
                            <w:t>Laporan</w:t>
                          </w:r>
                          <w:r>
                            <w:rPr>
                              <w:rFonts w:ascii="Calibri"/>
                              <w:i/>
                              <w:color w:val="585858"/>
                              <w:spacing w:val="-4"/>
                              <w:sz w:val="16"/>
                            </w:rPr>
                            <w:t> </w:t>
                          </w:r>
                          <w:r>
                            <w:rPr>
                              <w:rFonts w:ascii="Calibri"/>
                              <w:i/>
                              <w:color w:val="585858"/>
                              <w:sz w:val="16"/>
                            </w:rPr>
                            <w:t>Data</w:t>
                          </w:r>
                          <w:r>
                            <w:rPr>
                              <w:rFonts w:ascii="Calibri"/>
                              <w:i/>
                              <w:color w:val="585858"/>
                              <w:spacing w:val="-5"/>
                              <w:sz w:val="16"/>
                            </w:rPr>
                            <w:t> </w:t>
                          </w:r>
                          <w:r>
                            <w:rPr>
                              <w:rFonts w:ascii="Calibri"/>
                              <w:i/>
                              <w:color w:val="585858"/>
                              <w:sz w:val="16"/>
                            </w:rPr>
                            <w:t>Kepesertaan</w:t>
                          </w:r>
                          <w:r>
                            <w:rPr>
                              <w:rFonts w:ascii="Calibri"/>
                              <w:i/>
                              <w:color w:val="585858"/>
                              <w:spacing w:val="-4"/>
                              <w:sz w:val="16"/>
                            </w:rPr>
                            <w:t> </w:t>
                          </w:r>
                          <w:r>
                            <w:rPr>
                              <w:rFonts w:ascii="Calibri"/>
                              <w:i/>
                              <w:color w:val="585858"/>
                              <w:sz w:val="16"/>
                            </w:rPr>
                            <w:t>PBPU</w:t>
                          </w:r>
                          <w:r>
                            <w:rPr>
                              <w:rFonts w:ascii="Calibri"/>
                              <w:i/>
                              <w:color w:val="585858"/>
                              <w:spacing w:val="-3"/>
                              <w:sz w:val="16"/>
                            </w:rPr>
                            <w:t> </w:t>
                          </w:r>
                          <w:r>
                            <w:rPr>
                              <w:rFonts w:ascii="Calibri"/>
                              <w:i/>
                              <w:color w:val="585858"/>
                              <w:sz w:val="16"/>
                            </w:rPr>
                            <w:t>Pemda</w:t>
                          </w:r>
                          <w:r>
                            <w:rPr>
                              <w:rFonts w:ascii="Calibri"/>
                              <w:i/>
                              <w:color w:val="585858"/>
                              <w:spacing w:val="-3"/>
                              <w:sz w:val="16"/>
                            </w:rPr>
                            <w:t> </w:t>
                          </w:r>
                          <w:r>
                            <w:rPr>
                              <w:rFonts w:ascii="Calibri"/>
                              <w:i/>
                              <w:color w:val="585858"/>
                              <w:spacing w:val="-4"/>
                              <w:sz w:val="16"/>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3.549988pt;margin-top:36.100025pt;width:150.65pt;height:10pt;mso-position-horizontal-relative:page;mso-position-vertical-relative:page;z-index:-15863296" type="#_x0000_t202" id="docshape2" filled="false" stroked="false">
              <v:textbox inset="0,0,0,0">
                <w:txbxContent>
                  <w:p>
                    <w:pPr>
                      <w:spacing w:line="183" w:lineRule="exact" w:before="0"/>
                      <w:ind w:left="20" w:right="0" w:firstLine="0"/>
                      <w:jc w:val="left"/>
                      <w:rPr>
                        <w:rFonts w:ascii="Calibri"/>
                        <w:i/>
                        <w:sz w:val="16"/>
                      </w:rPr>
                    </w:pPr>
                    <w:r>
                      <w:rPr>
                        <w:rFonts w:ascii="Calibri"/>
                        <w:i/>
                        <w:color w:val="585858"/>
                        <w:sz w:val="16"/>
                      </w:rPr>
                      <w:t>Laporan</w:t>
                    </w:r>
                    <w:r>
                      <w:rPr>
                        <w:rFonts w:ascii="Calibri"/>
                        <w:i/>
                        <w:color w:val="585858"/>
                        <w:spacing w:val="-4"/>
                        <w:sz w:val="16"/>
                      </w:rPr>
                      <w:t> </w:t>
                    </w:r>
                    <w:r>
                      <w:rPr>
                        <w:rFonts w:ascii="Calibri"/>
                        <w:i/>
                        <w:color w:val="585858"/>
                        <w:sz w:val="16"/>
                      </w:rPr>
                      <w:t>Data</w:t>
                    </w:r>
                    <w:r>
                      <w:rPr>
                        <w:rFonts w:ascii="Calibri"/>
                        <w:i/>
                        <w:color w:val="585858"/>
                        <w:spacing w:val="-5"/>
                        <w:sz w:val="16"/>
                      </w:rPr>
                      <w:t> </w:t>
                    </w:r>
                    <w:r>
                      <w:rPr>
                        <w:rFonts w:ascii="Calibri"/>
                        <w:i/>
                        <w:color w:val="585858"/>
                        <w:sz w:val="16"/>
                      </w:rPr>
                      <w:t>Kepesertaan</w:t>
                    </w:r>
                    <w:r>
                      <w:rPr>
                        <w:rFonts w:ascii="Calibri"/>
                        <w:i/>
                        <w:color w:val="585858"/>
                        <w:spacing w:val="-4"/>
                        <w:sz w:val="16"/>
                      </w:rPr>
                      <w:t> </w:t>
                    </w:r>
                    <w:r>
                      <w:rPr>
                        <w:rFonts w:ascii="Calibri"/>
                        <w:i/>
                        <w:color w:val="585858"/>
                        <w:sz w:val="16"/>
                      </w:rPr>
                      <w:t>PBPU</w:t>
                    </w:r>
                    <w:r>
                      <w:rPr>
                        <w:rFonts w:ascii="Calibri"/>
                        <w:i/>
                        <w:color w:val="585858"/>
                        <w:spacing w:val="-3"/>
                        <w:sz w:val="16"/>
                      </w:rPr>
                      <w:t> </w:t>
                    </w:r>
                    <w:r>
                      <w:rPr>
                        <w:rFonts w:ascii="Calibri"/>
                        <w:i/>
                        <w:color w:val="585858"/>
                        <w:sz w:val="16"/>
                      </w:rPr>
                      <w:t>Pemda</w:t>
                    </w:r>
                    <w:r>
                      <w:rPr>
                        <w:rFonts w:ascii="Calibri"/>
                        <w:i/>
                        <w:color w:val="585858"/>
                        <w:spacing w:val="-3"/>
                        <w:sz w:val="16"/>
                      </w:rPr>
                      <w:t> </w:t>
                    </w:r>
                    <w:r>
                      <w:rPr>
                        <w:rFonts w:ascii="Calibri"/>
                        <w:i/>
                        <w:color w:val="585858"/>
                        <w:spacing w:val="-4"/>
                        <w:sz w:val="16"/>
                      </w:rPr>
                      <w:t>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363" w:hanging="199"/>
        <w:jc w:val="left"/>
      </w:pPr>
      <w:rPr>
        <w:rFonts w:hint="default"/>
        <w:spacing w:val="0"/>
        <w:w w:val="100"/>
        <w:lang w:val="id" w:eastAsia="en-US" w:bidi="ar-SA"/>
      </w:rPr>
    </w:lvl>
    <w:lvl w:ilvl="1">
      <w:start w:val="0"/>
      <w:numFmt w:val="bullet"/>
      <w:lvlText w:val="●"/>
      <w:lvlJc w:val="left"/>
      <w:pPr>
        <w:ind w:left="885" w:hanging="360"/>
      </w:pPr>
      <w:rPr>
        <w:rFonts w:hint="default" w:ascii="Microsoft Sans Serif" w:hAnsi="Microsoft Sans Serif" w:eastAsia="Microsoft Sans Serif" w:cs="Microsoft Sans Serif"/>
        <w:b w:val="0"/>
        <w:bCs w:val="0"/>
        <w:i w:val="0"/>
        <w:iCs w:val="0"/>
        <w:spacing w:val="0"/>
        <w:w w:val="100"/>
        <w:sz w:val="24"/>
        <w:szCs w:val="24"/>
        <w:lang w:val="id" w:eastAsia="en-US" w:bidi="ar-SA"/>
      </w:rPr>
    </w:lvl>
    <w:lvl w:ilvl="2">
      <w:start w:val="0"/>
      <w:numFmt w:val="bullet"/>
      <w:lvlText w:val="•"/>
      <w:lvlJc w:val="left"/>
      <w:pPr>
        <w:ind w:left="1869" w:hanging="360"/>
      </w:pPr>
      <w:rPr>
        <w:rFonts w:hint="default"/>
        <w:lang w:val="id" w:eastAsia="en-US" w:bidi="ar-SA"/>
      </w:rPr>
    </w:lvl>
    <w:lvl w:ilvl="3">
      <w:start w:val="0"/>
      <w:numFmt w:val="bullet"/>
      <w:lvlText w:val="•"/>
      <w:lvlJc w:val="left"/>
      <w:pPr>
        <w:ind w:left="2858" w:hanging="360"/>
      </w:pPr>
      <w:rPr>
        <w:rFonts w:hint="default"/>
        <w:lang w:val="id" w:eastAsia="en-US" w:bidi="ar-SA"/>
      </w:rPr>
    </w:lvl>
    <w:lvl w:ilvl="4">
      <w:start w:val="0"/>
      <w:numFmt w:val="bullet"/>
      <w:lvlText w:val="•"/>
      <w:lvlJc w:val="left"/>
      <w:pPr>
        <w:ind w:left="3847" w:hanging="360"/>
      </w:pPr>
      <w:rPr>
        <w:rFonts w:hint="default"/>
        <w:lang w:val="id" w:eastAsia="en-US" w:bidi="ar-SA"/>
      </w:rPr>
    </w:lvl>
    <w:lvl w:ilvl="5">
      <w:start w:val="0"/>
      <w:numFmt w:val="bullet"/>
      <w:lvlText w:val="•"/>
      <w:lvlJc w:val="left"/>
      <w:pPr>
        <w:ind w:left="4836" w:hanging="360"/>
      </w:pPr>
      <w:rPr>
        <w:rFonts w:hint="default"/>
        <w:lang w:val="id" w:eastAsia="en-US" w:bidi="ar-SA"/>
      </w:rPr>
    </w:lvl>
    <w:lvl w:ilvl="6">
      <w:start w:val="0"/>
      <w:numFmt w:val="bullet"/>
      <w:lvlText w:val="•"/>
      <w:lvlJc w:val="left"/>
      <w:pPr>
        <w:ind w:left="5825" w:hanging="360"/>
      </w:pPr>
      <w:rPr>
        <w:rFonts w:hint="default"/>
        <w:lang w:val="id" w:eastAsia="en-US" w:bidi="ar-SA"/>
      </w:rPr>
    </w:lvl>
    <w:lvl w:ilvl="7">
      <w:start w:val="0"/>
      <w:numFmt w:val="bullet"/>
      <w:lvlText w:val="•"/>
      <w:lvlJc w:val="left"/>
      <w:pPr>
        <w:ind w:left="6814" w:hanging="360"/>
      </w:pPr>
      <w:rPr>
        <w:rFonts w:hint="default"/>
        <w:lang w:val="id" w:eastAsia="en-US" w:bidi="ar-SA"/>
      </w:rPr>
    </w:lvl>
    <w:lvl w:ilvl="8">
      <w:start w:val="0"/>
      <w:numFmt w:val="bullet"/>
      <w:lvlText w:val="•"/>
      <w:lvlJc w:val="left"/>
      <w:pPr>
        <w:ind w:left="7803" w:hanging="360"/>
      </w:pPr>
      <w:rPr>
        <w:rFonts w:hint="default"/>
        <w:lang w:val="id"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id" w:eastAsia="en-US" w:bidi="ar-SA"/>
    </w:rPr>
  </w:style>
  <w:style w:styleId="BodyText" w:type="paragraph">
    <w:name w:val="Body Text"/>
    <w:basedOn w:val="Normal"/>
    <w:uiPriority w:val="1"/>
    <w:qFormat/>
    <w:pPr/>
    <w:rPr>
      <w:rFonts w:ascii="Microsoft Sans Serif" w:hAnsi="Microsoft Sans Serif" w:eastAsia="Microsoft Sans Serif" w:cs="Microsoft Sans Serif"/>
      <w:sz w:val="24"/>
      <w:szCs w:val="24"/>
      <w:lang w:val="id" w:eastAsia="en-US" w:bidi="ar-SA"/>
    </w:rPr>
  </w:style>
  <w:style w:styleId="Heading1" w:type="paragraph">
    <w:name w:val="Heading 1"/>
    <w:basedOn w:val="Normal"/>
    <w:uiPriority w:val="1"/>
    <w:qFormat/>
    <w:pPr>
      <w:spacing w:before="83"/>
      <w:ind w:right="419"/>
      <w:jc w:val="center"/>
      <w:outlineLvl w:val="1"/>
    </w:pPr>
    <w:rPr>
      <w:rFonts w:ascii="Arial" w:hAnsi="Arial" w:eastAsia="Arial" w:cs="Arial"/>
      <w:b/>
      <w:bCs/>
      <w:sz w:val="32"/>
      <w:szCs w:val="32"/>
      <w:lang w:val="id" w:eastAsia="en-US" w:bidi="ar-SA"/>
    </w:rPr>
  </w:style>
  <w:style w:styleId="Heading2" w:type="paragraph">
    <w:name w:val="Heading 2"/>
    <w:basedOn w:val="Normal"/>
    <w:uiPriority w:val="1"/>
    <w:qFormat/>
    <w:pPr>
      <w:ind w:left="363" w:hanging="423"/>
      <w:outlineLvl w:val="2"/>
    </w:pPr>
    <w:rPr>
      <w:rFonts w:ascii="Arial" w:hAnsi="Arial" w:eastAsia="Arial" w:cs="Arial"/>
      <w:b/>
      <w:bCs/>
      <w:sz w:val="24"/>
      <w:szCs w:val="24"/>
      <w:lang w:val="id" w:eastAsia="en-US" w:bidi="ar-SA"/>
    </w:rPr>
  </w:style>
  <w:style w:styleId="ListParagraph" w:type="paragraph">
    <w:name w:val="List Paragraph"/>
    <w:basedOn w:val="Normal"/>
    <w:uiPriority w:val="1"/>
    <w:qFormat/>
    <w:pPr>
      <w:ind w:left="885" w:hanging="360"/>
    </w:pPr>
    <w:rPr>
      <w:rFonts w:ascii="Microsoft Sans Serif" w:hAnsi="Microsoft Sans Serif" w:eastAsia="Microsoft Sans Serif" w:cs="Microsoft Sans Serif"/>
      <w:lang w:val="id" w:eastAsia="en-US" w:bidi="ar-SA"/>
    </w:rPr>
  </w:style>
  <w:style w:styleId="TableParagraph" w:type="paragraph">
    <w:name w:val="Table Paragraph"/>
    <w:basedOn w:val="Normal"/>
    <w:uiPriority w:val="1"/>
    <w:qFormat/>
    <w:pPr>
      <w:spacing w:line="270" w:lineRule="exact"/>
      <w:ind w:left="11"/>
    </w:pPr>
    <w:rPr>
      <w:rFonts w:ascii="Microsoft Sans Serif" w:hAnsi="Microsoft Sans Serif" w:eastAsia="Microsoft Sans Serif" w:cs="Microsoft Sans Serif"/>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dcterms:created xsi:type="dcterms:W3CDTF">2026-07-17T01:40:31Z</dcterms:created>
  <dcterms:modified xsi:type="dcterms:W3CDTF">2026-07-17T01:40:31Z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2026-07-13T00:00:00Z</vt:filetime>
  </property>
  <property fmtid="{D5CDD505-2E9C-101B-9397-08002B2CF9AE}" pid="4" name="Creator">
    <vt:lpwstr>Microsoft® Word 2016</vt:lpwstr>
  </property>
  <property fmtid="{D5CDD505-2E9C-101B-9397-08002B2CF9AE}" pid="5" name="LastSaved">
    <vt:filetime>2026-07-17T00:00:00Z</vt:filetime>
  </property>
  <property fmtid="{D5CDD505-2E9C-101B-9397-08002B2CF9AE}" pid="6" name="Producer">
    <vt:lpwstr>Microsoft® Word 2016</vt:lpwstr>
  </property>
</Properties>
</file>